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19FE" w14:textId="77777777" w:rsidR="00AE07DF" w:rsidRPr="002B3E3F" w:rsidRDefault="00AE07DF" w:rsidP="00AE07DF">
      <w:pPr>
        <w:contextualSpacing/>
        <w:jc w:val="center"/>
        <w:rPr>
          <w:rFonts w:cs="Calibri"/>
          <w:b/>
          <w:sz w:val="32"/>
          <w:szCs w:val="32"/>
        </w:rPr>
      </w:pPr>
      <w:r w:rsidRPr="002B3E3F">
        <w:rPr>
          <w:rFonts w:cs="Calibri"/>
          <w:b/>
          <w:sz w:val="32"/>
          <w:szCs w:val="32"/>
        </w:rPr>
        <w:t>REPRESENTATION BY THE KIRTON AND TRIMLEY COMMUNITY ACTION GROUP</w:t>
      </w:r>
    </w:p>
    <w:p w14:paraId="05D3EC76" w14:textId="77777777" w:rsidR="00AE07DF" w:rsidRPr="002B3E3F" w:rsidRDefault="00AE07DF" w:rsidP="00AE07DF">
      <w:pPr>
        <w:contextualSpacing/>
        <w:jc w:val="center"/>
        <w:rPr>
          <w:rFonts w:cs="Calibri"/>
          <w:b/>
          <w:sz w:val="32"/>
          <w:szCs w:val="32"/>
        </w:rPr>
      </w:pPr>
      <w:r w:rsidRPr="002B3E3F">
        <w:rPr>
          <w:rFonts w:cs="Calibri"/>
          <w:b/>
          <w:sz w:val="32"/>
          <w:szCs w:val="32"/>
        </w:rPr>
        <w:t>SUFFOLK COASTAL DISTRICT COUNCIL</w:t>
      </w:r>
      <w:r>
        <w:rPr>
          <w:rFonts w:cs="Calibri"/>
          <w:b/>
          <w:sz w:val="32"/>
          <w:szCs w:val="32"/>
        </w:rPr>
        <w:t xml:space="preserve"> </w:t>
      </w:r>
      <w:r w:rsidRPr="002B3E3F">
        <w:rPr>
          <w:rFonts w:cs="Calibri"/>
          <w:b/>
          <w:sz w:val="32"/>
          <w:szCs w:val="32"/>
        </w:rPr>
        <w:t>LOCAL PLAN</w:t>
      </w:r>
    </w:p>
    <w:p w14:paraId="2E230D69" w14:textId="77777777" w:rsidR="00AE07DF" w:rsidRPr="002B3E3F" w:rsidRDefault="00AE07DF" w:rsidP="00AE07DF">
      <w:pPr>
        <w:contextualSpacing/>
        <w:jc w:val="center"/>
        <w:rPr>
          <w:rFonts w:cs="Calibri"/>
          <w:sz w:val="32"/>
          <w:szCs w:val="32"/>
        </w:rPr>
      </w:pPr>
    </w:p>
    <w:p w14:paraId="11C644DF" w14:textId="77777777" w:rsidR="00AE07DF" w:rsidRDefault="00AE07DF" w:rsidP="00AE07DF">
      <w:pPr>
        <w:contextualSpacing/>
        <w:jc w:val="both"/>
        <w:rPr>
          <w:rFonts w:cs="Calibri"/>
          <w:b/>
          <w:sz w:val="24"/>
          <w:szCs w:val="24"/>
        </w:rPr>
      </w:pPr>
      <w:r w:rsidRPr="00D157CE">
        <w:rPr>
          <w:rFonts w:cs="Calibri"/>
          <w:b/>
          <w:sz w:val="24"/>
          <w:szCs w:val="24"/>
        </w:rPr>
        <w:t>POLICY SCLP 12.65 – LAND OFF HOWLETT WAY – ALLOCATION CARRIED FORWARD FROM THE FELIXSTOWE PENISULAR ACTION PLAN – 360 DWELLINGS</w:t>
      </w:r>
    </w:p>
    <w:p w14:paraId="7E4CDCAD" w14:textId="77777777" w:rsidR="00451786" w:rsidRDefault="00451786" w:rsidP="00AE07DF">
      <w:pPr>
        <w:contextualSpacing/>
        <w:jc w:val="both"/>
        <w:rPr>
          <w:rFonts w:cs="Calibri"/>
          <w:b/>
          <w:sz w:val="24"/>
          <w:szCs w:val="24"/>
        </w:rPr>
      </w:pPr>
    </w:p>
    <w:p w14:paraId="65BAC57E" w14:textId="77777777" w:rsidR="00AE07DF" w:rsidRPr="00D157CE" w:rsidRDefault="00AE07DF" w:rsidP="00AE07DF">
      <w:pPr>
        <w:contextualSpacing/>
        <w:jc w:val="both"/>
        <w:rPr>
          <w:rFonts w:cs="Calibri"/>
          <w:b/>
          <w:sz w:val="24"/>
          <w:szCs w:val="24"/>
        </w:rPr>
      </w:pPr>
    </w:p>
    <w:p w14:paraId="49375B4C" w14:textId="77777777" w:rsidR="00AE07DF" w:rsidRDefault="00AE07DF" w:rsidP="00AE07DF">
      <w:pPr>
        <w:contextualSpacing/>
        <w:jc w:val="both"/>
        <w:rPr>
          <w:rFonts w:cs="Calibri"/>
          <w:b/>
          <w:sz w:val="24"/>
          <w:szCs w:val="24"/>
        </w:rPr>
      </w:pPr>
      <w:r w:rsidRPr="00D157CE">
        <w:rPr>
          <w:rFonts w:cs="Calibri"/>
          <w:b/>
          <w:sz w:val="24"/>
          <w:szCs w:val="24"/>
        </w:rPr>
        <w:t xml:space="preserve">POLICY 12.66 – LAND ADJACENT TO REEVE LODGE – </w:t>
      </w:r>
      <w:r w:rsidR="000B5569">
        <w:rPr>
          <w:rFonts w:cs="Calibri"/>
          <w:b/>
          <w:sz w:val="24"/>
          <w:szCs w:val="24"/>
        </w:rPr>
        <w:t>HIGH ROAD,</w:t>
      </w:r>
      <w:r w:rsidR="006F2E56">
        <w:rPr>
          <w:rFonts w:cs="Calibri"/>
          <w:b/>
          <w:sz w:val="24"/>
          <w:szCs w:val="24"/>
        </w:rPr>
        <w:t xml:space="preserve"> TRIMLEY ST MARTIN</w:t>
      </w:r>
    </w:p>
    <w:p w14:paraId="27A9FFCE" w14:textId="77777777" w:rsidR="000A014C" w:rsidRDefault="000A014C" w:rsidP="000A014C">
      <w:pPr>
        <w:contextualSpacing/>
        <w:jc w:val="center"/>
        <w:rPr>
          <w:rFonts w:cs="Calibri"/>
          <w:b/>
          <w:sz w:val="40"/>
          <w:szCs w:val="40"/>
        </w:rPr>
      </w:pPr>
    </w:p>
    <w:p w14:paraId="6BB65B5B" w14:textId="320FEAA8" w:rsidR="00AE07DF" w:rsidRPr="000A014C" w:rsidRDefault="000A014C" w:rsidP="000A014C">
      <w:pPr>
        <w:contextualSpacing/>
        <w:jc w:val="center"/>
        <w:rPr>
          <w:rFonts w:cs="Calibri"/>
          <w:b/>
          <w:sz w:val="40"/>
          <w:szCs w:val="40"/>
        </w:rPr>
      </w:pPr>
      <w:r w:rsidRPr="000A014C">
        <w:rPr>
          <w:rFonts w:cs="Calibri"/>
          <w:b/>
          <w:sz w:val="40"/>
          <w:szCs w:val="40"/>
        </w:rPr>
        <w:t>PART 1</w:t>
      </w:r>
    </w:p>
    <w:p w14:paraId="4DDBAFB6" w14:textId="77777777" w:rsidR="00AE07DF" w:rsidRPr="000A014C" w:rsidRDefault="00AE07DF" w:rsidP="000A014C">
      <w:pPr>
        <w:contextualSpacing/>
        <w:jc w:val="center"/>
        <w:rPr>
          <w:rFonts w:cs="Calibri"/>
          <w:sz w:val="40"/>
          <w:szCs w:val="40"/>
        </w:rPr>
      </w:pPr>
    </w:p>
    <w:p w14:paraId="7FF0CA7B" w14:textId="77777777" w:rsidR="00AE07DF" w:rsidRPr="0004754D" w:rsidRDefault="00AE07DF" w:rsidP="00AE07DF">
      <w:pPr>
        <w:contextualSpacing/>
        <w:jc w:val="both"/>
        <w:rPr>
          <w:rFonts w:cs="Calibri"/>
          <w:b/>
        </w:rPr>
      </w:pPr>
      <w:r w:rsidRPr="0004754D">
        <w:rPr>
          <w:rFonts w:cs="Calibri"/>
          <w:b/>
        </w:rPr>
        <w:t>Introduction</w:t>
      </w:r>
    </w:p>
    <w:p w14:paraId="5394CA11" w14:textId="77777777" w:rsidR="00AE07DF" w:rsidRPr="0004754D" w:rsidRDefault="00AE07DF" w:rsidP="00AE07DF">
      <w:pPr>
        <w:contextualSpacing/>
        <w:jc w:val="both"/>
        <w:rPr>
          <w:rFonts w:cs="Calibri"/>
          <w:b/>
        </w:rPr>
      </w:pPr>
    </w:p>
    <w:p w14:paraId="0E18D1E9" w14:textId="77777777" w:rsidR="00AE07DF" w:rsidRPr="0004754D" w:rsidRDefault="00AE07DF" w:rsidP="00AE07DF">
      <w:pPr>
        <w:pStyle w:val="ListParagraph"/>
        <w:numPr>
          <w:ilvl w:val="0"/>
          <w:numId w:val="1"/>
        </w:numPr>
        <w:contextualSpacing/>
        <w:jc w:val="both"/>
        <w:rPr>
          <w:rFonts w:cs="Calibri"/>
        </w:rPr>
      </w:pPr>
      <w:r w:rsidRPr="0004754D">
        <w:rPr>
          <w:rFonts w:cs="Calibri"/>
        </w:rPr>
        <w:t>This submission is advanced by Kirton and Trimly Community Action Group (“KATCAG”) in response to the SCDC Local Plan policies 12.65</w:t>
      </w:r>
      <w:r w:rsidR="000B5569">
        <w:rPr>
          <w:rFonts w:cs="Calibri"/>
        </w:rPr>
        <w:t xml:space="preserve"> and </w:t>
      </w:r>
      <w:r w:rsidRPr="0004754D">
        <w:rPr>
          <w:rFonts w:cs="Calibri"/>
        </w:rPr>
        <w:t>12.66.  It is KATCAG</w:t>
      </w:r>
      <w:r>
        <w:rPr>
          <w:rFonts w:cs="Calibri"/>
        </w:rPr>
        <w:t>’</w:t>
      </w:r>
      <w:r w:rsidRPr="0004754D">
        <w:rPr>
          <w:rFonts w:cs="Calibri"/>
        </w:rPr>
        <w:t xml:space="preserve">s submission that these policies fail to meet the tests of soundness and should be </w:t>
      </w:r>
      <w:r w:rsidRPr="004973F2">
        <w:rPr>
          <w:rFonts w:cs="Calibri"/>
        </w:rPr>
        <w:t>struck out</w:t>
      </w:r>
      <w:r w:rsidRPr="00042388">
        <w:rPr>
          <w:rFonts w:cs="Calibri"/>
        </w:rPr>
        <w:t xml:space="preserve"> or modified, as appropriate</w:t>
      </w:r>
      <w:r w:rsidRPr="0004754D">
        <w:rPr>
          <w:rFonts w:cs="Calibri"/>
        </w:rPr>
        <w:t>.</w:t>
      </w:r>
    </w:p>
    <w:p w14:paraId="6939820D" w14:textId="77777777" w:rsidR="00AE07DF" w:rsidRPr="0004754D" w:rsidRDefault="00AE07DF" w:rsidP="00AE07DF">
      <w:pPr>
        <w:pStyle w:val="ListParagraph"/>
        <w:contextualSpacing/>
        <w:jc w:val="both"/>
        <w:rPr>
          <w:rFonts w:cs="Calibri"/>
        </w:rPr>
      </w:pPr>
    </w:p>
    <w:p w14:paraId="5E3F2595" w14:textId="77777777" w:rsidR="00AE07DF" w:rsidRPr="0004754D" w:rsidRDefault="00AE07DF" w:rsidP="00AE07DF">
      <w:pPr>
        <w:pStyle w:val="ListParagraph"/>
        <w:numPr>
          <w:ilvl w:val="0"/>
          <w:numId w:val="1"/>
        </w:numPr>
        <w:contextualSpacing/>
        <w:jc w:val="both"/>
        <w:rPr>
          <w:rFonts w:cs="Calibri"/>
        </w:rPr>
      </w:pPr>
      <w:r w:rsidRPr="0004754D">
        <w:rPr>
          <w:rFonts w:cs="Calibri"/>
        </w:rPr>
        <w:t xml:space="preserve">Whilst developments elsewhere on the </w:t>
      </w:r>
      <w:proofErr w:type="spellStart"/>
      <w:r w:rsidRPr="0004754D">
        <w:rPr>
          <w:rFonts w:cs="Calibri"/>
        </w:rPr>
        <w:t>Colneis</w:t>
      </w:r>
      <w:proofErr w:type="spellEnd"/>
      <w:r w:rsidRPr="0004754D">
        <w:rPr>
          <w:rFonts w:cs="Calibri"/>
        </w:rPr>
        <w:t xml:space="preserve"> lie beyond the parish boundaries of</w:t>
      </w:r>
      <w:r>
        <w:rPr>
          <w:rFonts w:cs="Calibri"/>
        </w:rPr>
        <w:t xml:space="preserve"> </w:t>
      </w:r>
      <w:r w:rsidRPr="0004754D">
        <w:rPr>
          <w:rFonts w:cs="Calibri"/>
        </w:rPr>
        <w:t>Kirton, Trimley St Martin and Trimley St Mary</w:t>
      </w:r>
      <w:r>
        <w:rPr>
          <w:rFonts w:cs="Calibri"/>
        </w:rPr>
        <w:t>,</w:t>
      </w:r>
      <w:r w:rsidR="000B5569">
        <w:rPr>
          <w:rFonts w:cs="Calibri"/>
        </w:rPr>
        <w:t xml:space="preserve"> </w:t>
      </w:r>
      <w:r w:rsidRPr="0004754D">
        <w:rPr>
          <w:rFonts w:cs="Calibri"/>
        </w:rPr>
        <w:t xml:space="preserve">they inevitably have an impact </w:t>
      </w:r>
      <w:r>
        <w:rPr>
          <w:rFonts w:cs="Calibri"/>
        </w:rPr>
        <w:t xml:space="preserve">on the </w:t>
      </w:r>
      <w:r w:rsidRPr="0004754D">
        <w:rPr>
          <w:rFonts w:cs="Calibri"/>
        </w:rPr>
        <w:t>quality of life</w:t>
      </w:r>
      <w:r>
        <w:rPr>
          <w:rFonts w:cs="Calibri"/>
        </w:rPr>
        <w:t xml:space="preserve"> of all residents</w:t>
      </w:r>
      <w:r w:rsidRPr="0004754D">
        <w:rPr>
          <w:rFonts w:cs="Calibri"/>
        </w:rPr>
        <w:t>.  In September SCDC said they had achieved a five-year</w:t>
      </w:r>
      <w:r>
        <w:rPr>
          <w:rFonts w:cs="Calibri"/>
        </w:rPr>
        <w:t xml:space="preserve"> housing land</w:t>
      </w:r>
      <w:r w:rsidRPr="0004754D">
        <w:rPr>
          <w:rFonts w:cs="Calibri"/>
        </w:rPr>
        <w:t xml:space="preserve"> supply</w:t>
      </w:r>
      <w:r>
        <w:rPr>
          <w:rFonts w:cs="Calibri"/>
        </w:rPr>
        <w:t>,</w:t>
      </w:r>
      <w:r w:rsidRPr="0004754D">
        <w:rPr>
          <w:rFonts w:cs="Calibri"/>
        </w:rPr>
        <w:t xml:space="preserve"> but the expectation is that the target will be increased.  Either way, 2016 saw a bewildering series of plans for housing development coming forward. </w:t>
      </w:r>
    </w:p>
    <w:p w14:paraId="37919E72" w14:textId="77777777" w:rsidR="00AE07DF" w:rsidRPr="0004754D" w:rsidRDefault="00AE07DF" w:rsidP="00AE07DF">
      <w:pPr>
        <w:numPr>
          <w:ilvl w:val="0"/>
          <w:numId w:val="1"/>
        </w:numPr>
        <w:contextualSpacing/>
        <w:jc w:val="both"/>
        <w:rPr>
          <w:rFonts w:cs="Calibri"/>
        </w:rPr>
      </w:pPr>
      <w:r w:rsidRPr="0004754D">
        <w:rPr>
          <w:rFonts w:cs="Calibri"/>
        </w:rPr>
        <w:t>The status of SCLP 12.65 – Land off Howlett Way is already allocated and has been carried forward from the Site Allocations and Area Specific Policies Development Plan</w:t>
      </w:r>
    </w:p>
    <w:p w14:paraId="687842AB" w14:textId="77777777" w:rsidR="00AE07DF" w:rsidRDefault="00AE07DF" w:rsidP="00AE07DF">
      <w:pPr>
        <w:pStyle w:val="ListParagraph"/>
        <w:numPr>
          <w:ilvl w:val="0"/>
          <w:numId w:val="1"/>
        </w:numPr>
        <w:rPr>
          <w:rFonts w:cs="Calibri"/>
        </w:rPr>
      </w:pPr>
      <w:r w:rsidRPr="0004754D">
        <w:rPr>
          <w:rFonts w:cs="Calibri"/>
        </w:rPr>
        <w:t xml:space="preserve">To understand the arguments presented by KATCAG </w:t>
      </w:r>
      <w:r>
        <w:rPr>
          <w:rFonts w:cs="Calibri"/>
        </w:rPr>
        <w:t>reference should be made to</w:t>
      </w:r>
      <w:r w:rsidRPr="0004754D">
        <w:rPr>
          <w:rFonts w:cs="Calibri"/>
        </w:rPr>
        <w:t xml:space="preserve"> three short tables namely </w:t>
      </w:r>
    </w:p>
    <w:p w14:paraId="68A2905B" w14:textId="77777777" w:rsidR="00AE07DF" w:rsidRDefault="00AE07DF" w:rsidP="00AE07DF">
      <w:pPr>
        <w:pStyle w:val="ListParagraph"/>
        <w:ind w:left="1440"/>
        <w:rPr>
          <w:rFonts w:cs="Calibri"/>
        </w:rPr>
      </w:pPr>
      <w:r w:rsidRPr="0004754D">
        <w:rPr>
          <w:rFonts w:cs="Calibri"/>
        </w:rPr>
        <w:t>a)</w:t>
      </w:r>
      <w:r>
        <w:rPr>
          <w:rFonts w:cs="Calibri"/>
        </w:rPr>
        <w:t xml:space="preserve"> H</w:t>
      </w:r>
      <w:r w:rsidRPr="0004754D">
        <w:rPr>
          <w:rFonts w:cs="Calibri"/>
        </w:rPr>
        <w:t xml:space="preserve">ousing (extracting figures from tables 3.2 (page 38), table 3.3 (page 39), table 3.5 (pages 45 – 48), </w:t>
      </w:r>
    </w:p>
    <w:p w14:paraId="3F88E506" w14:textId="77777777" w:rsidR="00AE07DF" w:rsidRDefault="00AE07DF" w:rsidP="00AE07DF">
      <w:pPr>
        <w:pStyle w:val="ListParagraph"/>
        <w:ind w:left="1440"/>
        <w:rPr>
          <w:rFonts w:cs="Calibri"/>
        </w:rPr>
      </w:pPr>
      <w:r>
        <w:rPr>
          <w:rFonts w:cs="Calibri"/>
        </w:rPr>
        <w:t>b) P</w:t>
      </w:r>
      <w:r w:rsidRPr="0004754D">
        <w:rPr>
          <w:rFonts w:cs="Calibri"/>
        </w:rPr>
        <w:t xml:space="preserve">opulation (using the figure of 2.4 persons per dwelling as provided by the Office for National Statistics) and </w:t>
      </w:r>
    </w:p>
    <w:p w14:paraId="01C6FB96" w14:textId="77777777" w:rsidR="00AE07DF" w:rsidRPr="0004754D" w:rsidRDefault="00AE07DF" w:rsidP="00721C20">
      <w:pPr>
        <w:pStyle w:val="ListParagraph"/>
        <w:ind w:left="1440"/>
        <w:rPr>
          <w:rFonts w:cs="Calibri"/>
        </w:rPr>
      </w:pPr>
      <w:r>
        <w:rPr>
          <w:rFonts w:cs="Calibri"/>
        </w:rPr>
        <w:t xml:space="preserve">(c) </w:t>
      </w:r>
      <w:r w:rsidR="00721C20">
        <w:rPr>
          <w:rFonts w:cs="Calibri"/>
        </w:rPr>
        <w:t>V</w:t>
      </w:r>
      <w:r w:rsidRPr="0004754D">
        <w:rPr>
          <w:rFonts w:cs="Calibri"/>
        </w:rPr>
        <w:t>ehic</w:t>
      </w:r>
      <w:r w:rsidR="00721C20">
        <w:rPr>
          <w:rFonts w:cs="Calibri"/>
        </w:rPr>
        <w:t>ular traffic</w:t>
      </w:r>
      <w:r w:rsidRPr="0004754D">
        <w:rPr>
          <w:rFonts w:cs="Calibri"/>
        </w:rPr>
        <w:t xml:space="preserve"> (using the figure of 1.47 per household as determined by a </w:t>
      </w:r>
      <w:r w:rsidR="00721C20">
        <w:rPr>
          <w:rFonts w:cs="Calibri"/>
        </w:rPr>
        <w:t>parking</w:t>
      </w:r>
      <w:r w:rsidRPr="0004754D">
        <w:rPr>
          <w:rFonts w:cs="Calibri"/>
        </w:rPr>
        <w:t xml:space="preserve"> study </w:t>
      </w:r>
      <w:r w:rsidR="00721C20">
        <w:rPr>
          <w:rFonts w:cs="Calibri"/>
        </w:rPr>
        <w:t>detailed later in this submission</w:t>
      </w:r>
    </w:p>
    <w:p w14:paraId="49AE6C41" w14:textId="77777777" w:rsidR="00AE07DF" w:rsidRPr="0004754D" w:rsidRDefault="00AE07DF" w:rsidP="00AE07DF">
      <w:pPr>
        <w:ind w:left="720"/>
        <w:contextualSpacing/>
        <w:jc w:val="both"/>
        <w:rPr>
          <w:rFonts w:cs="Calibri"/>
        </w:rPr>
      </w:pPr>
    </w:p>
    <w:p w14:paraId="437BCD63" w14:textId="77777777" w:rsidR="00AE07DF" w:rsidRPr="0004754D" w:rsidRDefault="00AE07DF" w:rsidP="00AE07DF">
      <w:pPr>
        <w:numPr>
          <w:ilvl w:val="0"/>
          <w:numId w:val="1"/>
        </w:numPr>
        <w:contextualSpacing/>
        <w:jc w:val="both"/>
        <w:rPr>
          <w:rFonts w:cs="Calibri"/>
        </w:rPr>
      </w:pPr>
      <w:r w:rsidRPr="0004754D">
        <w:rPr>
          <w:rFonts w:cs="Calibri"/>
        </w:rPr>
        <w:lastRenderedPageBreak/>
        <w:t xml:space="preserve">Working on the basis that </w:t>
      </w:r>
      <w:r>
        <w:rPr>
          <w:rFonts w:cs="Calibri"/>
        </w:rPr>
        <w:t xml:space="preserve">the </w:t>
      </w:r>
      <w:r w:rsidRPr="0004754D">
        <w:rPr>
          <w:rFonts w:cs="Calibri"/>
        </w:rPr>
        <w:t xml:space="preserve">housing requirement and </w:t>
      </w:r>
      <w:r>
        <w:rPr>
          <w:rFonts w:cs="Calibri"/>
        </w:rPr>
        <w:t xml:space="preserve">projected </w:t>
      </w:r>
      <w:r w:rsidRPr="0004754D">
        <w:rPr>
          <w:rFonts w:cs="Calibri"/>
        </w:rPr>
        <w:t xml:space="preserve">employment </w:t>
      </w:r>
      <w:r>
        <w:rPr>
          <w:rFonts w:cs="Calibri"/>
        </w:rPr>
        <w:t xml:space="preserve">figures </w:t>
      </w:r>
      <w:r w:rsidRPr="0004754D">
        <w:rPr>
          <w:rFonts w:cs="Calibri"/>
        </w:rPr>
        <w:t>are linked</w:t>
      </w:r>
      <w:r>
        <w:rPr>
          <w:rFonts w:cs="Calibri"/>
        </w:rPr>
        <w:t>,</w:t>
      </w:r>
      <w:r w:rsidRPr="0004754D">
        <w:rPr>
          <w:rFonts w:cs="Calibri"/>
        </w:rPr>
        <w:t xml:space="preserve"> with the latter tending to drive the former, it is the submission of KATCAG that this Plan has failed to meet the test</w:t>
      </w:r>
      <w:r>
        <w:rPr>
          <w:rFonts w:cs="Calibri"/>
        </w:rPr>
        <w:t xml:space="preserve">s </w:t>
      </w:r>
      <w:r w:rsidRPr="0004754D">
        <w:rPr>
          <w:rFonts w:cs="Calibri"/>
        </w:rPr>
        <w:t>of ‘soundness’ in respect of each of the following elements:</w:t>
      </w:r>
    </w:p>
    <w:p w14:paraId="7F831C4A" w14:textId="77777777" w:rsidR="00AE07DF" w:rsidRPr="0004754D" w:rsidRDefault="00AE07DF" w:rsidP="00AE07DF">
      <w:pPr>
        <w:contextualSpacing/>
        <w:jc w:val="both"/>
        <w:rPr>
          <w:rFonts w:cs="Calibri"/>
        </w:rPr>
      </w:pPr>
    </w:p>
    <w:p w14:paraId="63E12E1A" w14:textId="77777777" w:rsidR="00AE07DF" w:rsidRPr="0004754D" w:rsidRDefault="00AE07DF" w:rsidP="00AE07DF">
      <w:pPr>
        <w:ind w:left="360"/>
        <w:contextualSpacing/>
        <w:jc w:val="both"/>
        <w:rPr>
          <w:rFonts w:cs="Calibri"/>
        </w:rPr>
      </w:pPr>
      <w:r>
        <w:rPr>
          <w:rFonts w:cs="Calibri"/>
          <w:b/>
        </w:rPr>
        <w:t>Not Positively Prepared</w:t>
      </w:r>
      <w:r w:rsidRPr="0004754D">
        <w:rPr>
          <w:rFonts w:cs="Calibri"/>
          <w:b/>
        </w:rPr>
        <w:t xml:space="preserve"> – Employment</w:t>
      </w:r>
    </w:p>
    <w:p w14:paraId="50B298F3" w14:textId="77777777" w:rsidR="00AE07DF" w:rsidRPr="0004754D" w:rsidRDefault="00AE07DF" w:rsidP="00AE07DF">
      <w:pPr>
        <w:ind w:left="720"/>
        <w:contextualSpacing/>
        <w:jc w:val="both"/>
        <w:rPr>
          <w:rFonts w:cs="Calibri"/>
        </w:rPr>
      </w:pPr>
    </w:p>
    <w:p w14:paraId="6EA285A1" w14:textId="77777777" w:rsidR="00AE07DF" w:rsidRDefault="00AE07DF" w:rsidP="00BE3644">
      <w:pPr>
        <w:numPr>
          <w:ilvl w:val="0"/>
          <w:numId w:val="1"/>
        </w:numPr>
        <w:contextualSpacing/>
        <w:jc w:val="both"/>
        <w:rPr>
          <w:rFonts w:cs="Calibri"/>
        </w:rPr>
      </w:pPr>
      <w:r w:rsidRPr="00721C20">
        <w:rPr>
          <w:rFonts w:cs="Calibri"/>
        </w:rPr>
        <w:t xml:space="preserve">The baseline jobs growth figure for 2018 – 2036 is given as 6,500. This is a gross figure and does not take account of job losses. With an existing employment total of 59,100 this amount represents a growth of 11% - 360 jobs pa. This is a gross figure and there is no evidence to indicate how potential job losses might influence that figure. </w:t>
      </w:r>
      <w:r w:rsidR="00721C20" w:rsidRPr="00721C20">
        <w:rPr>
          <w:rFonts w:cs="Calibri"/>
        </w:rPr>
        <w:t>It is unclear if the Plan is taking</w:t>
      </w:r>
      <w:r w:rsidRPr="00721C20">
        <w:rPr>
          <w:rFonts w:cs="Calibri"/>
        </w:rPr>
        <w:t xml:space="preserve"> ‘job losses’</w:t>
      </w:r>
      <w:r w:rsidR="00721C20" w:rsidRPr="00721C20">
        <w:rPr>
          <w:rFonts w:cs="Calibri"/>
        </w:rPr>
        <w:t xml:space="preserve"> into account.</w:t>
      </w:r>
    </w:p>
    <w:p w14:paraId="6BED6C25" w14:textId="77777777" w:rsidR="00721C20" w:rsidRPr="00721C20" w:rsidRDefault="00721C20" w:rsidP="00721C20">
      <w:pPr>
        <w:ind w:left="927"/>
        <w:contextualSpacing/>
        <w:jc w:val="both"/>
        <w:rPr>
          <w:rFonts w:cs="Calibri"/>
        </w:rPr>
      </w:pPr>
    </w:p>
    <w:p w14:paraId="0E5AAE9F" w14:textId="77777777" w:rsidR="00AE07DF" w:rsidRPr="0004754D" w:rsidRDefault="00AE07DF" w:rsidP="00AE07DF">
      <w:pPr>
        <w:numPr>
          <w:ilvl w:val="0"/>
          <w:numId w:val="1"/>
        </w:numPr>
        <w:contextualSpacing/>
        <w:jc w:val="both"/>
        <w:rPr>
          <w:rFonts w:cs="Calibri"/>
        </w:rPr>
      </w:pPr>
      <w:r w:rsidRPr="0004754D">
        <w:rPr>
          <w:rFonts w:cs="Calibri"/>
        </w:rPr>
        <w:t>It is our contention a significant element of the SCDC strategy for job growth is built around:</w:t>
      </w:r>
    </w:p>
    <w:p w14:paraId="47E9C1E2" w14:textId="77777777" w:rsidR="00AE07DF" w:rsidRPr="0004754D" w:rsidRDefault="00AE07DF" w:rsidP="00AE07DF">
      <w:pPr>
        <w:numPr>
          <w:ilvl w:val="0"/>
          <w:numId w:val="3"/>
        </w:numPr>
        <w:contextualSpacing/>
        <w:jc w:val="both"/>
        <w:rPr>
          <w:rFonts w:cs="Calibri"/>
        </w:rPr>
      </w:pPr>
      <w:r w:rsidRPr="0004754D">
        <w:rPr>
          <w:rFonts w:cs="Calibri"/>
        </w:rPr>
        <w:t>The employment opportunities to be found at Felixstowe Port, BT and Sizewell C</w:t>
      </w:r>
    </w:p>
    <w:p w14:paraId="6DBFD6D0" w14:textId="77777777" w:rsidR="00AE07DF" w:rsidRPr="0004754D" w:rsidRDefault="00AE07DF" w:rsidP="00AE07DF">
      <w:pPr>
        <w:numPr>
          <w:ilvl w:val="0"/>
          <w:numId w:val="3"/>
        </w:numPr>
        <w:contextualSpacing/>
        <w:jc w:val="both"/>
        <w:rPr>
          <w:rFonts w:cs="Calibri"/>
        </w:rPr>
      </w:pPr>
      <w:r w:rsidRPr="0004754D">
        <w:rPr>
          <w:rFonts w:cs="Calibri"/>
        </w:rPr>
        <w:t>Adoption of the proposal for Innocence farm</w:t>
      </w:r>
    </w:p>
    <w:p w14:paraId="73A0CFFD" w14:textId="77777777" w:rsidR="00AE07DF" w:rsidRPr="0004754D" w:rsidRDefault="00AE07DF" w:rsidP="00AE07DF">
      <w:pPr>
        <w:ind w:left="1440"/>
        <w:contextualSpacing/>
        <w:jc w:val="both"/>
        <w:rPr>
          <w:rFonts w:cs="Calibri"/>
        </w:rPr>
      </w:pPr>
    </w:p>
    <w:p w14:paraId="7B58026F" w14:textId="77777777" w:rsidR="00AE07DF" w:rsidRPr="0004754D" w:rsidRDefault="00AE07DF" w:rsidP="00AE07DF">
      <w:pPr>
        <w:numPr>
          <w:ilvl w:val="0"/>
          <w:numId w:val="1"/>
        </w:numPr>
        <w:contextualSpacing/>
        <w:jc w:val="both"/>
        <w:rPr>
          <w:rFonts w:cs="Calibri"/>
        </w:rPr>
      </w:pPr>
      <w:r w:rsidRPr="0050741C">
        <w:rPr>
          <w:rFonts w:cs="Calibri"/>
          <w:b/>
        </w:rPr>
        <w:t>The available evidence points overwhelmingly to conclusions that firstly; none of the employers referred to above are likely to produce significant job growth and secondly, that proposal for Innocence Farm, even if approved, is most unlikely to result in any significant increase in jobs</w:t>
      </w:r>
      <w:r w:rsidRPr="0004754D">
        <w:rPr>
          <w:rFonts w:cs="Calibri"/>
        </w:rPr>
        <w:t xml:space="preserve">.  </w:t>
      </w:r>
    </w:p>
    <w:p w14:paraId="7A626152" w14:textId="77777777" w:rsidR="00AE07DF" w:rsidRPr="0004754D" w:rsidRDefault="00AE07DF" w:rsidP="00AE07DF">
      <w:pPr>
        <w:ind w:left="720"/>
        <w:contextualSpacing/>
        <w:jc w:val="both"/>
        <w:rPr>
          <w:rFonts w:cs="Calibri"/>
        </w:rPr>
      </w:pPr>
    </w:p>
    <w:p w14:paraId="2B3C7084" w14:textId="77777777" w:rsidR="00AE07DF" w:rsidRPr="0004754D" w:rsidRDefault="00AE07DF" w:rsidP="00AE07DF">
      <w:pPr>
        <w:numPr>
          <w:ilvl w:val="0"/>
          <w:numId w:val="1"/>
        </w:numPr>
        <w:contextualSpacing/>
        <w:jc w:val="both"/>
        <w:rPr>
          <w:rFonts w:cs="Calibri"/>
        </w:rPr>
      </w:pPr>
      <w:r w:rsidRPr="0004754D">
        <w:rPr>
          <w:rFonts w:cs="Calibri"/>
        </w:rPr>
        <w:t xml:space="preserve">Both the Port and BT are in the process of reducing their workforce and the workforce at </w:t>
      </w:r>
      <w:proofErr w:type="spellStart"/>
      <w:r w:rsidRPr="0004754D">
        <w:rPr>
          <w:rFonts w:cs="Calibri"/>
        </w:rPr>
        <w:t>SizewellC</w:t>
      </w:r>
      <w:proofErr w:type="spellEnd"/>
      <w:r w:rsidRPr="0004754D">
        <w:rPr>
          <w:rFonts w:cs="Calibri"/>
        </w:rPr>
        <w:t xml:space="preserve"> will be transient until circa 2030.  Those locations apart, there has been no clear indication as to where </w:t>
      </w:r>
      <w:r>
        <w:rPr>
          <w:rFonts w:cs="Calibri"/>
        </w:rPr>
        <w:t xml:space="preserve">any significant number of </w:t>
      </w:r>
      <w:r w:rsidRPr="0004754D">
        <w:rPr>
          <w:rFonts w:cs="Calibri"/>
        </w:rPr>
        <w:t>new jobs will arise. The Plan fails to acknowledge:</w:t>
      </w:r>
    </w:p>
    <w:p w14:paraId="48B536D1" w14:textId="77777777" w:rsidR="00AE07DF" w:rsidRPr="0004754D" w:rsidRDefault="00AE07DF" w:rsidP="00AE07DF">
      <w:pPr>
        <w:numPr>
          <w:ilvl w:val="0"/>
          <w:numId w:val="2"/>
        </w:numPr>
        <w:contextualSpacing/>
        <w:jc w:val="both"/>
        <w:rPr>
          <w:rFonts w:cs="Calibri"/>
        </w:rPr>
      </w:pPr>
      <w:r w:rsidRPr="0004754D">
        <w:rPr>
          <w:rFonts w:cs="Calibri"/>
        </w:rPr>
        <w:t>direct employee numbers at the Port are less than they were several years ago, even though throughput has increased</w:t>
      </w:r>
    </w:p>
    <w:p w14:paraId="6B04D8F9" w14:textId="77777777" w:rsidR="00AE07DF" w:rsidRPr="0004754D" w:rsidRDefault="00AE07DF" w:rsidP="00AE07DF">
      <w:pPr>
        <w:numPr>
          <w:ilvl w:val="0"/>
          <w:numId w:val="2"/>
        </w:numPr>
        <w:contextualSpacing/>
        <w:jc w:val="both"/>
        <w:rPr>
          <w:rFonts w:cs="Calibri"/>
        </w:rPr>
      </w:pPr>
      <w:r w:rsidRPr="0004754D">
        <w:rPr>
          <w:rFonts w:cs="Calibri"/>
        </w:rPr>
        <w:t>further reductions are planned as AI technology advances.</w:t>
      </w:r>
    </w:p>
    <w:p w14:paraId="3404BB9F" w14:textId="77777777" w:rsidR="00AE07DF" w:rsidRPr="0004754D" w:rsidRDefault="00AE07DF" w:rsidP="00AE07DF">
      <w:pPr>
        <w:numPr>
          <w:ilvl w:val="0"/>
          <w:numId w:val="2"/>
        </w:numPr>
        <w:contextualSpacing/>
        <w:jc w:val="both"/>
        <w:rPr>
          <w:rFonts w:cs="Calibri"/>
        </w:rPr>
      </w:pPr>
      <w:r w:rsidRPr="0004754D">
        <w:rPr>
          <w:rFonts w:cs="Calibri"/>
        </w:rPr>
        <w:t xml:space="preserve">Its own evidence base, the </w:t>
      </w:r>
      <w:proofErr w:type="spellStart"/>
      <w:r w:rsidRPr="0004754D">
        <w:rPr>
          <w:rFonts w:cs="Calibri"/>
        </w:rPr>
        <w:t>Lichfields</w:t>
      </w:r>
      <w:proofErr w:type="spellEnd"/>
      <w:r w:rsidRPr="0004754D">
        <w:rPr>
          <w:rFonts w:cs="Calibri"/>
        </w:rPr>
        <w:t xml:space="preserve"> Port Study </w:t>
      </w:r>
      <w:proofErr w:type="gramStart"/>
      <w:r w:rsidRPr="0004754D">
        <w:rPr>
          <w:rFonts w:cs="Calibri"/>
        </w:rPr>
        <w:t>2018,bases</w:t>
      </w:r>
      <w:proofErr w:type="gramEnd"/>
      <w:r w:rsidRPr="0004754D">
        <w:rPr>
          <w:rFonts w:cs="Calibri"/>
        </w:rPr>
        <w:t xml:space="preserve"> the future Port-related need for additional land allocation and housing</w:t>
      </w:r>
      <w:r>
        <w:rPr>
          <w:rFonts w:cs="Calibri"/>
        </w:rPr>
        <w:t xml:space="preserve"> </w:t>
      </w:r>
      <w:r w:rsidRPr="0004754D">
        <w:rPr>
          <w:rFonts w:cs="Calibri"/>
        </w:rPr>
        <w:t>on previous technical evidence carried out in 2008</w:t>
      </w:r>
      <w:r w:rsidR="00721C20">
        <w:rPr>
          <w:rFonts w:cs="Calibri"/>
        </w:rPr>
        <w:t>.</w:t>
      </w:r>
      <w:r w:rsidRPr="0004754D">
        <w:rPr>
          <w:rFonts w:cs="Calibri"/>
        </w:rPr>
        <w:t xml:space="preserve"> </w:t>
      </w:r>
    </w:p>
    <w:p w14:paraId="349EA3A5" w14:textId="77777777" w:rsidR="00AE07DF" w:rsidRPr="0004754D" w:rsidRDefault="00AE07DF" w:rsidP="00AE07DF">
      <w:pPr>
        <w:numPr>
          <w:ilvl w:val="0"/>
          <w:numId w:val="2"/>
        </w:numPr>
        <w:contextualSpacing/>
        <w:jc w:val="both"/>
        <w:rPr>
          <w:rFonts w:cs="Calibri"/>
        </w:rPr>
      </w:pPr>
      <w:r w:rsidRPr="0004754D">
        <w:rPr>
          <w:rFonts w:cs="Calibri"/>
        </w:rPr>
        <w:t xml:space="preserve">The Sustainability Appraisal - Figure 38 – Page 98 depicts the employment trends across SCDC. Para 3.154 refers to ‘Transportation and Storage’, which at 16.3% is almost four times that of the regional (4.6%) and national figures (4.7%) and is largely the result of employment at The Port. </w:t>
      </w:r>
    </w:p>
    <w:p w14:paraId="44F8C576" w14:textId="77777777" w:rsidR="00AE07DF" w:rsidRPr="0004754D" w:rsidRDefault="00AE07DF" w:rsidP="00AE07DF">
      <w:pPr>
        <w:numPr>
          <w:ilvl w:val="0"/>
          <w:numId w:val="2"/>
        </w:numPr>
        <w:contextualSpacing/>
        <w:jc w:val="both"/>
        <w:rPr>
          <w:rFonts w:cs="Calibri"/>
        </w:rPr>
      </w:pPr>
      <w:r w:rsidRPr="0004754D">
        <w:rPr>
          <w:rFonts w:cs="Calibri"/>
        </w:rPr>
        <w:t>However</w:t>
      </w:r>
      <w:r w:rsidR="00721C20">
        <w:rPr>
          <w:rFonts w:cs="Calibri"/>
        </w:rPr>
        <w:t>,</w:t>
      </w:r>
      <w:r w:rsidRPr="0004754D">
        <w:rPr>
          <w:rFonts w:cs="Calibri"/>
        </w:rPr>
        <w:t xml:space="preserve"> these are 2015 </w:t>
      </w:r>
      <w:proofErr w:type="gramStart"/>
      <w:r w:rsidRPr="0004754D">
        <w:rPr>
          <w:rFonts w:cs="Calibri"/>
        </w:rPr>
        <w:t>figures</w:t>
      </w:r>
      <w:proofErr w:type="gramEnd"/>
      <w:r w:rsidRPr="0004754D">
        <w:rPr>
          <w:rFonts w:cs="Calibri"/>
        </w:rPr>
        <w:t xml:space="preserve"> and much has changed at The Port in the meantime in terms of automation and employment which shall clearly affect future job opportunities. Therefore</w:t>
      </w:r>
      <w:r w:rsidR="00721C20">
        <w:rPr>
          <w:rFonts w:cs="Calibri"/>
        </w:rPr>
        <w:t>,</w:t>
      </w:r>
      <w:r w:rsidRPr="0004754D">
        <w:rPr>
          <w:rFonts w:cs="Calibri"/>
        </w:rPr>
        <w:t xml:space="preserve"> such comments which pertain to 2015 are misleading in</w:t>
      </w:r>
      <w:r w:rsidR="00721C20">
        <w:rPr>
          <w:rFonts w:cs="Calibri"/>
        </w:rPr>
        <w:t xml:space="preserve"> the</w:t>
      </w:r>
      <w:r w:rsidRPr="0004754D">
        <w:rPr>
          <w:rFonts w:cs="Calibri"/>
        </w:rPr>
        <w:t xml:space="preserve"> light of subsequent developments at The Port.</w:t>
      </w:r>
    </w:p>
    <w:p w14:paraId="16BC1583" w14:textId="77777777" w:rsidR="00AE07DF" w:rsidRPr="0004754D" w:rsidRDefault="00AE07DF" w:rsidP="00AE07DF">
      <w:pPr>
        <w:numPr>
          <w:ilvl w:val="0"/>
          <w:numId w:val="2"/>
        </w:numPr>
        <w:contextualSpacing/>
        <w:jc w:val="both"/>
        <w:rPr>
          <w:rFonts w:cs="Calibri"/>
        </w:rPr>
      </w:pPr>
      <w:r w:rsidRPr="0004754D">
        <w:rPr>
          <w:rFonts w:cs="Calibri"/>
        </w:rPr>
        <w:t>As an example</w:t>
      </w:r>
      <w:r w:rsidR="00721C20">
        <w:rPr>
          <w:rFonts w:cs="Calibri"/>
        </w:rPr>
        <w:t>,</w:t>
      </w:r>
      <w:r w:rsidRPr="0004754D">
        <w:rPr>
          <w:rFonts w:cs="Calibri"/>
        </w:rPr>
        <w:t xml:space="preserve"> according to the Port Technology website The Port has placed an order with Siemens for eight gantry cranes to become operational in 2019 stating “designed to reduce the carbon footprint of The Port and will set off the first steps of gradual automation”.</w:t>
      </w:r>
    </w:p>
    <w:p w14:paraId="48920DAB" w14:textId="77777777" w:rsidR="00AE07DF" w:rsidRPr="0004754D" w:rsidRDefault="00AE07DF" w:rsidP="00AE07DF">
      <w:pPr>
        <w:numPr>
          <w:ilvl w:val="0"/>
          <w:numId w:val="2"/>
        </w:numPr>
        <w:contextualSpacing/>
        <w:jc w:val="both"/>
        <w:rPr>
          <w:rFonts w:cs="Calibri"/>
        </w:rPr>
      </w:pPr>
      <w:proofErr w:type="spellStart"/>
      <w:r w:rsidRPr="0004754D">
        <w:rPr>
          <w:rFonts w:cs="Calibri"/>
        </w:rPr>
        <w:lastRenderedPageBreak/>
        <w:t>Uniserve</w:t>
      </w:r>
      <w:proofErr w:type="spellEnd"/>
      <w:r w:rsidRPr="0004754D">
        <w:rPr>
          <w:rFonts w:cs="Calibri"/>
        </w:rPr>
        <w:t xml:space="preserve"> announced on their website </w:t>
      </w:r>
      <w:r>
        <w:rPr>
          <w:rFonts w:cs="Calibri"/>
        </w:rPr>
        <w:t xml:space="preserve">for operational reasons </w:t>
      </w:r>
      <w:r w:rsidRPr="0004754D">
        <w:rPr>
          <w:rFonts w:cs="Calibri"/>
        </w:rPr>
        <w:t>they have taken an i</w:t>
      </w:r>
      <w:r>
        <w:rPr>
          <w:rFonts w:cs="Calibri"/>
        </w:rPr>
        <w:t>n</w:t>
      </w:r>
      <w:r w:rsidRPr="0004754D">
        <w:rPr>
          <w:rFonts w:cs="Calibri"/>
        </w:rPr>
        <w:t xml:space="preserve">definite decision to move </w:t>
      </w:r>
      <w:proofErr w:type="gramStart"/>
      <w:r w:rsidRPr="0004754D">
        <w:rPr>
          <w:rFonts w:cs="Calibri"/>
        </w:rPr>
        <w:t>a number</w:t>
      </w:r>
      <w:r>
        <w:rPr>
          <w:rFonts w:cs="Calibri"/>
        </w:rPr>
        <w:t xml:space="preserve"> of</w:t>
      </w:r>
      <w:proofErr w:type="gramEnd"/>
      <w:r>
        <w:rPr>
          <w:rFonts w:cs="Calibri"/>
        </w:rPr>
        <w:t xml:space="preserve"> Asian inbound consolidation </w:t>
      </w:r>
      <w:r w:rsidRPr="0004754D">
        <w:rPr>
          <w:rFonts w:cs="Calibri"/>
        </w:rPr>
        <w:t xml:space="preserve">LCL services to the Port of Southampton. </w:t>
      </w:r>
    </w:p>
    <w:p w14:paraId="2623331D" w14:textId="77777777" w:rsidR="00AE07DF" w:rsidRPr="00293225" w:rsidRDefault="00AE07DF" w:rsidP="00AE07DF">
      <w:pPr>
        <w:numPr>
          <w:ilvl w:val="0"/>
          <w:numId w:val="2"/>
        </w:numPr>
        <w:contextualSpacing/>
        <w:jc w:val="both"/>
        <w:rPr>
          <w:rFonts w:cs="Calibri"/>
        </w:rPr>
      </w:pPr>
      <w:r w:rsidRPr="00293225">
        <w:rPr>
          <w:rFonts w:cs="Calibri"/>
        </w:rPr>
        <w:t xml:space="preserve">The Royal </w:t>
      </w:r>
      <w:proofErr w:type="spellStart"/>
      <w:r w:rsidRPr="00293225">
        <w:rPr>
          <w:rFonts w:cs="Calibri"/>
        </w:rPr>
        <w:t>Haskoning</w:t>
      </w:r>
      <w:proofErr w:type="spellEnd"/>
      <w:r w:rsidRPr="00293225">
        <w:rPr>
          <w:rFonts w:cs="Calibri"/>
        </w:rPr>
        <w:t xml:space="preserve"> DHV Report provides a comparative TEU capacity figure study between Felixstowe and its competitors namely, Liverpool, Southampton, Tilbury and London Gateway and how the latter ports are all planning extra TEU capacity and/or new terminal</w:t>
      </w:r>
      <w:r w:rsidR="00265AA3">
        <w:rPr>
          <w:rFonts w:cs="Calibri"/>
        </w:rPr>
        <w:t>.</w:t>
      </w:r>
      <w:r w:rsidRPr="00293225">
        <w:rPr>
          <w:rFonts w:cs="Calibri"/>
        </w:rPr>
        <w:t xml:space="preserve"> </w:t>
      </w:r>
      <w:r w:rsidR="00265AA3">
        <w:rPr>
          <w:rFonts w:cs="Calibri"/>
        </w:rPr>
        <w:t>I</w:t>
      </w:r>
      <w:r w:rsidRPr="00293225">
        <w:rPr>
          <w:rFonts w:cs="Calibri"/>
        </w:rPr>
        <w:t>n the case of London Gateway</w:t>
      </w:r>
      <w:r w:rsidR="00265AA3">
        <w:rPr>
          <w:rFonts w:cs="Calibri"/>
        </w:rPr>
        <w:t xml:space="preserve">, they have </w:t>
      </w:r>
      <w:proofErr w:type="gramStart"/>
      <w:r w:rsidRPr="00293225">
        <w:rPr>
          <w:rFonts w:cs="Calibri"/>
        </w:rPr>
        <w:t>sufficient</w:t>
      </w:r>
      <w:proofErr w:type="gramEnd"/>
      <w:r w:rsidRPr="00293225">
        <w:rPr>
          <w:rFonts w:cs="Calibri"/>
        </w:rPr>
        <w:t xml:space="preserve"> water frontage to double the number of berths if required.</w:t>
      </w:r>
    </w:p>
    <w:p w14:paraId="2F6C98C8" w14:textId="77777777" w:rsidR="00AE07DF" w:rsidRPr="0004754D" w:rsidRDefault="00AE07DF" w:rsidP="00AE07DF">
      <w:pPr>
        <w:numPr>
          <w:ilvl w:val="0"/>
          <w:numId w:val="2"/>
        </w:numPr>
        <w:contextualSpacing/>
        <w:jc w:val="both"/>
        <w:rPr>
          <w:rFonts w:cs="Calibri"/>
        </w:rPr>
      </w:pPr>
      <w:r w:rsidRPr="00293225">
        <w:rPr>
          <w:rFonts w:cs="Calibri"/>
        </w:rPr>
        <w:t>BT announce</w:t>
      </w:r>
      <w:r w:rsidR="00265AA3">
        <w:rPr>
          <w:rFonts w:cs="Calibri"/>
        </w:rPr>
        <w:t>d publicly,</w:t>
      </w:r>
      <w:r w:rsidRPr="00293225">
        <w:rPr>
          <w:rFonts w:cs="Calibri"/>
        </w:rPr>
        <w:t xml:space="preserve"> in 2018</w:t>
      </w:r>
      <w:r w:rsidR="00265AA3">
        <w:rPr>
          <w:rFonts w:cs="Calibri"/>
        </w:rPr>
        <w:t>,</w:t>
      </w:r>
      <w:r w:rsidRPr="00293225">
        <w:rPr>
          <w:rFonts w:cs="Calibri"/>
        </w:rPr>
        <w:t xml:space="preserve"> they intend reducing</w:t>
      </w:r>
      <w:r>
        <w:rPr>
          <w:rFonts w:cs="Calibri"/>
        </w:rPr>
        <w:t xml:space="preserve"> </w:t>
      </w:r>
      <w:r w:rsidRPr="00293225">
        <w:rPr>
          <w:rFonts w:cs="Calibri"/>
        </w:rPr>
        <w:t>their worldwide workforce by 13,000</w:t>
      </w:r>
      <w:r w:rsidR="00265AA3">
        <w:rPr>
          <w:rFonts w:cs="Calibri"/>
        </w:rPr>
        <w:t>,</w:t>
      </w:r>
      <w:r w:rsidRPr="00293225">
        <w:rPr>
          <w:rFonts w:cs="Calibri"/>
        </w:rPr>
        <w:t xml:space="preserve"> to include 9,000 jobs losses in the UK, which is expected to include a reduction of 900 at </w:t>
      </w:r>
      <w:proofErr w:type="spellStart"/>
      <w:r w:rsidRPr="00293225">
        <w:rPr>
          <w:rFonts w:cs="Calibri"/>
        </w:rPr>
        <w:t>Adastral</w:t>
      </w:r>
      <w:proofErr w:type="spellEnd"/>
      <w:r w:rsidRPr="00293225">
        <w:rPr>
          <w:rFonts w:cs="Calibri"/>
        </w:rPr>
        <w:t xml:space="preserve"> Park (BT press releases)</w:t>
      </w:r>
    </w:p>
    <w:p w14:paraId="742E01CD" w14:textId="77777777" w:rsidR="00AE07DF" w:rsidRPr="0004754D" w:rsidRDefault="00AE07DF" w:rsidP="00AE07DF">
      <w:pPr>
        <w:numPr>
          <w:ilvl w:val="0"/>
          <w:numId w:val="2"/>
        </w:numPr>
        <w:contextualSpacing/>
        <w:jc w:val="both"/>
        <w:rPr>
          <w:rFonts w:cs="Calibri"/>
        </w:rPr>
      </w:pPr>
      <w:r w:rsidRPr="0004754D">
        <w:rPr>
          <w:rFonts w:cs="Calibri"/>
        </w:rPr>
        <w:t>SCDC have benefitted from economies of scale as a result of the forthcoming merger with Waveney, which will see the joint workforce greatly reduced, from 1,350 to about 730.</w:t>
      </w:r>
    </w:p>
    <w:p w14:paraId="24080AD0" w14:textId="77777777" w:rsidR="00627BA1" w:rsidRDefault="00AE07DF" w:rsidP="00627BA1">
      <w:pPr>
        <w:numPr>
          <w:ilvl w:val="0"/>
          <w:numId w:val="2"/>
        </w:numPr>
        <w:contextualSpacing/>
        <w:jc w:val="both"/>
        <w:rPr>
          <w:rFonts w:cs="Calibri"/>
        </w:rPr>
      </w:pPr>
      <w:r w:rsidRPr="0004754D">
        <w:rPr>
          <w:rFonts w:cs="Calibri"/>
        </w:rPr>
        <w:t>The High Street retail</w:t>
      </w:r>
      <w:r w:rsidR="00627BA1">
        <w:rPr>
          <w:rFonts w:cs="Calibri"/>
        </w:rPr>
        <w:t xml:space="preserve"> </w:t>
      </w:r>
      <w:r w:rsidRPr="0004754D">
        <w:rPr>
          <w:rFonts w:cs="Calibri"/>
        </w:rPr>
        <w:t>and banking sectors have each</w:t>
      </w:r>
      <w:r w:rsidR="00627BA1">
        <w:rPr>
          <w:rFonts w:cs="Calibri"/>
        </w:rPr>
        <w:t xml:space="preserve"> s</w:t>
      </w:r>
      <w:r w:rsidRPr="0004754D">
        <w:rPr>
          <w:rFonts w:cs="Calibri"/>
        </w:rPr>
        <w:t>uffered from customers moving to on-line shopping. The fact that both Tesco and Asda pulled out of developing stores in Felixstowe and Walton together with the more recent announcement of the closure of M&amp;S in Felixstowe plus 11 empty retail outlets (5/2/19) in Felixstowe High Street testify to this fact.</w:t>
      </w:r>
    </w:p>
    <w:p w14:paraId="6393926B" w14:textId="77777777" w:rsidR="00627BA1" w:rsidRDefault="00627BA1" w:rsidP="00627BA1">
      <w:pPr>
        <w:ind w:left="1440"/>
        <w:contextualSpacing/>
        <w:jc w:val="both"/>
        <w:rPr>
          <w:rFonts w:cs="Calibri"/>
        </w:rPr>
      </w:pPr>
    </w:p>
    <w:p w14:paraId="2F65104D" w14:textId="77777777" w:rsidR="00AE07DF" w:rsidRDefault="00AE07DF" w:rsidP="00627BA1">
      <w:pPr>
        <w:numPr>
          <w:ilvl w:val="0"/>
          <w:numId w:val="1"/>
        </w:numPr>
        <w:contextualSpacing/>
        <w:jc w:val="both"/>
        <w:rPr>
          <w:rFonts w:cs="Calibri"/>
        </w:rPr>
      </w:pPr>
      <w:r w:rsidRPr="00627BA1">
        <w:rPr>
          <w:rFonts w:cs="Calibri"/>
        </w:rPr>
        <w:t xml:space="preserve">The Plan claims that between 2001 and 2016 employment grew by 13.4%. According to </w:t>
      </w:r>
      <w:proofErr w:type="spellStart"/>
      <w:r w:rsidRPr="00627BA1">
        <w:rPr>
          <w:rFonts w:cs="Calibri"/>
        </w:rPr>
        <w:t>Nomis</w:t>
      </w:r>
      <w:proofErr w:type="spellEnd"/>
      <w:r w:rsidRPr="00627BA1">
        <w:rPr>
          <w:rFonts w:cs="Calibri"/>
        </w:rPr>
        <w:t xml:space="preserve"> figures, 59,100 people were in employment in 2017, which suggests that between 2001 and 2016, approx 7,000 jobs were created thus averaging 440 per year. Only 2,600 jobs were created between 2011 and 2016, which is just over 50% of the number predicted between 2001 - 2016.</w:t>
      </w:r>
    </w:p>
    <w:p w14:paraId="532F365C" w14:textId="77777777" w:rsidR="00627BA1" w:rsidRPr="00627BA1" w:rsidRDefault="00627BA1" w:rsidP="00627BA1">
      <w:pPr>
        <w:ind w:left="720"/>
        <w:contextualSpacing/>
        <w:jc w:val="both"/>
        <w:rPr>
          <w:rFonts w:cs="Calibri"/>
        </w:rPr>
      </w:pPr>
    </w:p>
    <w:p w14:paraId="55453FD6" w14:textId="77777777" w:rsidR="00627BA1" w:rsidRDefault="00AE07DF" w:rsidP="00265AA3">
      <w:pPr>
        <w:numPr>
          <w:ilvl w:val="0"/>
          <w:numId w:val="1"/>
        </w:numPr>
        <w:contextualSpacing/>
        <w:jc w:val="both"/>
        <w:rPr>
          <w:rFonts w:cs="Calibri"/>
        </w:rPr>
      </w:pPr>
      <w:r w:rsidRPr="00D0284D">
        <w:rPr>
          <w:rFonts w:cs="Calibri"/>
        </w:rPr>
        <w:t>Mr Ian Cowan of Trimley St Martin has carried out some very detailed research into the evidence to support the need for 6,500 jobs. When this research is reviewed in conjunction with the SCDC responses to his FOI requests</w:t>
      </w:r>
      <w:r w:rsidR="00265AA3">
        <w:rPr>
          <w:rFonts w:cs="Calibri"/>
        </w:rPr>
        <w:t>.</w:t>
      </w:r>
      <w:r w:rsidRPr="00D0284D">
        <w:rPr>
          <w:rFonts w:cs="Calibri"/>
        </w:rPr>
        <w:t xml:space="preserve"> </w:t>
      </w:r>
      <w:r w:rsidR="00265AA3">
        <w:rPr>
          <w:rFonts w:cs="Calibri"/>
        </w:rPr>
        <w:t>I</w:t>
      </w:r>
      <w:r w:rsidRPr="00D0284D">
        <w:rPr>
          <w:rFonts w:cs="Calibri"/>
        </w:rPr>
        <w:t>t is clear SCDC have significantly failed to demonstrate the provenance of figures pertaining to earlier year</w:t>
      </w:r>
      <w:r w:rsidR="00265AA3">
        <w:rPr>
          <w:rFonts w:cs="Calibri"/>
        </w:rPr>
        <w:t>’</w:t>
      </w:r>
      <w:r w:rsidRPr="00D0284D">
        <w:rPr>
          <w:rFonts w:cs="Calibri"/>
        </w:rPr>
        <w:t>s aspirational job figures/losses. Consequently</w:t>
      </w:r>
      <w:r w:rsidR="00265AA3">
        <w:rPr>
          <w:rFonts w:cs="Calibri"/>
        </w:rPr>
        <w:t>,</w:t>
      </w:r>
      <w:r w:rsidRPr="00D0284D">
        <w:rPr>
          <w:rFonts w:cs="Calibri"/>
        </w:rPr>
        <w:t xml:space="preserve"> huge doubt </w:t>
      </w:r>
      <w:r w:rsidR="00265AA3">
        <w:rPr>
          <w:rFonts w:cs="Calibri"/>
        </w:rPr>
        <w:t>is</w:t>
      </w:r>
      <w:r w:rsidRPr="00D0284D">
        <w:rPr>
          <w:rFonts w:cs="Calibri"/>
        </w:rPr>
        <w:t xml:space="preserve"> to be placed upon the veracity of the figure of 6,500. </w:t>
      </w:r>
    </w:p>
    <w:p w14:paraId="5CAEDB78" w14:textId="77777777" w:rsidR="00265AA3" w:rsidRPr="00265AA3" w:rsidRDefault="00265AA3" w:rsidP="00265AA3">
      <w:pPr>
        <w:contextualSpacing/>
        <w:jc w:val="both"/>
        <w:rPr>
          <w:rFonts w:cs="Calibri"/>
        </w:rPr>
      </w:pPr>
    </w:p>
    <w:p w14:paraId="3B26658F" w14:textId="77777777" w:rsidR="00AE07DF" w:rsidRDefault="00AE07DF" w:rsidP="00627BA1">
      <w:pPr>
        <w:numPr>
          <w:ilvl w:val="0"/>
          <w:numId w:val="1"/>
        </w:numPr>
        <w:contextualSpacing/>
        <w:jc w:val="both"/>
        <w:rPr>
          <w:rFonts w:cs="Calibri"/>
        </w:rPr>
      </w:pPr>
      <w:r w:rsidRPr="0004754D">
        <w:rPr>
          <w:rFonts w:cs="Calibri"/>
        </w:rPr>
        <w:t xml:space="preserve">What </w:t>
      </w:r>
      <w:r w:rsidR="00265AA3">
        <w:rPr>
          <w:rFonts w:cs="Calibri"/>
        </w:rPr>
        <w:t>has been</w:t>
      </w:r>
      <w:r w:rsidRPr="0004754D">
        <w:rPr>
          <w:rFonts w:cs="Calibri"/>
        </w:rPr>
        <w:t xml:space="preserve"> happening at The Port in terms of advancing technology is a ‘red flag’ as to how this field is influencing employment growth.</w:t>
      </w:r>
    </w:p>
    <w:p w14:paraId="4B12E60E" w14:textId="77777777" w:rsidR="00627BA1" w:rsidRDefault="00627BA1" w:rsidP="00627BA1">
      <w:pPr>
        <w:ind w:left="720"/>
        <w:contextualSpacing/>
        <w:jc w:val="both"/>
        <w:rPr>
          <w:rFonts w:cs="Calibri"/>
        </w:rPr>
      </w:pPr>
    </w:p>
    <w:p w14:paraId="2F108F63" w14:textId="77777777" w:rsidR="00AE07DF" w:rsidRDefault="00AE07DF" w:rsidP="00627BA1">
      <w:pPr>
        <w:numPr>
          <w:ilvl w:val="0"/>
          <w:numId w:val="1"/>
        </w:numPr>
        <w:contextualSpacing/>
        <w:jc w:val="both"/>
        <w:rPr>
          <w:rFonts w:cs="Calibri"/>
        </w:rPr>
      </w:pPr>
      <w:r>
        <w:rPr>
          <w:rFonts w:cs="Calibri"/>
        </w:rPr>
        <w:t xml:space="preserve">In respect of ‘Automation’ </w:t>
      </w:r>
      <w:proofErr w:type="spellStart"/>
      <w:r>
        <w:rPr>
          <w:rFonts w:cs="Calibri"/>
        </w:rPr>
        <w:t>PWc</w:t>
      </w:r>
      <w:proofErr w:type="spellEnd"/>
      <w:r>
        <w:rPr>
          <w:rFonts w:cs="Calibri"/>
        </w:rPr>
        <w:t xml:space="preserve"> UK have analysed 200,000 jobs in 29 countries to explore the benefits and potential challenges posed by automation. Their headline findings are as follows:</w:t>
      </w:r>
    </w:p>
    <w:p w14:paraId="29599CD0" w14:textId="77777777" w:rsidR="00AE07DF" w:rsidRDefault="00AE07DF" w:rsidP="00AE07DF">
      <w:pPr>
        <w:numPr>
          <w:ilvl w:val="0"/>
          <w:numId w:val="4"/>
        </w:numPr>
        <w:contextualSpacing/>
        <w:jc w:val="both"/>
        <w:rPr>
          <w:rFonts w:cs="Calibri"/>
        </w:rPr>
      </w:pPr>
      <w:r>
        <w:rPr>
          <w:rFonts w:cs="Calibri"/>
        </w:rPr>
        <w:t>$15tn potential boost to global GDP</w:t>
      </w:r>
    </w:p>
    <w:p w14:paraId="6DE194DA" w14:textId="77777777" w:rsidR="00AE07DF" w:rsidRDefault="00AE07DF" w:rsidP="00AE07DF">
      <w:pPr>
        <w:numPr>
          <w:ilvl w:val="0"/>
          <w:numId w:val="4"/>
        </w:numPr>
        <w:contextualSpacing/>
        <w:jc w:val="both"/>
        <w:rPr>
          <w:rFonts w:cs="Calibri"/>
        </w:rPr>
      </w:pPr>
      <w:r>
        <w:rPr>
          <w:rFonts w:cs="Calibri"/>
        </w:rPr>
        <w:t>3% of jobs at potential risk of automation by early 20s’</w:t>
      </w:r>
    </w:p>
    <w:p w14:paraId="02185F5E" w14:textId="77777777" w:rsidR="00AE07DF" w:rsidRDefault="00AE07DF" w:rsidP="00AE07DF">
      <w:pPr>
        <w:numPr>
          <w:ilvl w:val="0"/>
          <w:numId w:val="4"/>
        </w:numPr>
        <w:contextualSpacing/>
        <w:jc w:val="both"/>
        <w:rPr>
          <w:rFonts w:cs="Calibri"/>
        </w:rPr>
      </w:pPr>
      <w:r>
        <w:rPr>
          <w:rFonts w:cs="Calibri"/>
        </w:rPr>
        <w:t>30% of jobs at potential risk of automation by mid 30s’</w:t>
      </w:r>
    </w:p>
    <w:p w14:paraId="7C0F4979" w14:textId="77777777" w:rsidR="00AE07DF" w:rsidRDefault="00AE07DF" w:rsidP="00AE07DF">
      <w:pPr>
        <w:numPr>
          <w:ilvl w:val="0"/>
          <w:numId w:val="4"/>
        </w:numPr>
        <w:contextualSpacing/>
        <w:jc w:val="both"/>
        <w:rPr>
          <w:rFonts w:cs="Calibri"/>
        </w:rPr>
      </w:pPr>
      <w:r>
        <w:rPr>
          <w:rFonts w:cs="Calibri"/>
        </w:rPr>
        <w:t xml:space="preserve">44% of workers with low education at risk of automation by mid 2030s’ </w:t>
      </w:r>
    </w:p>
    <w:p w14:paraId="7182AD3A" w14:textId="77777777" w:rsidR="00AE07DF" w:rsidRPr="00EC50C6" w:rsidRDefault="0073290F" w:rsidP="00AE07DF">
      <w:pPr>
        <w:numPr>
          <w:ilvl w:val="0"/>
          <w:numId w:val="4"/>
        </w:numPr>
        <w:contextualSpacing/>
        <w:jc w:val="both"/>
        <w:rPr>
          <w:rFonts w:cs="Calibri"/>
        </w:rPr>
      </w:pPr>
      <w:hyperlink r:id="rId5" w:history="1">
        <w:r w:rsidR="00AE07DF" w:rsidRPr="004F406C">
          <w:rPr>
            <w:rStyle w:val="Hyperlink"/>
            <w:rFonts w:cs="Calibri"/>
          </w:rPr>
          <w:t>https://www.pwc.co.uk/services/economics-policy/insights/the-impact-of-automation-on-jobs.html</w:t>
        </w:r>
      </w:hyperlink>
    </w:p>
    <w:p w14:paraId="3D3C8E2B" w14:textId="77777777" w:rsidR="00AE07DF" w:rsidRDefault="00AE07DF" w:rsidP="00AE07DF">
      <w:pPr>
        <w:contextualSpacing/>
        <w:jc w:val="both"/>
        <w:rPr>
          <w:rFonts w:cs="Calibri"/>
        </w:rPr>
      </w:pPr>
    </w:p>
    <w:p w14:paraId="5726EA73" w14:textId="77777777" w:rsidR="00AE07DF" w:rsidRDefault="00AE07DF" w:rsidP="00AE07DF">
      <w:pPr>
        <w:contextualSpacing/>
        <w:jc w:val="both"/>
        <w:rPr>
          <w:rFonts w:cs="Calibri"/>
        </w:rPr>
      </w:pPr>
    </w:p>
    <w:p w14:paraId="0AFD2E06" w14:textId="77777777" w:rsidR="00AE07DF" w:rsidRDefault="00AE07DF" w:rsidP="00AE07DF">
      <w:pPr>
        <w:contextualSpacing/>
        <w:jc w:val="both"/>
        <w:rPr>
          <w:rFonts w:cs="Calibri"/>
        </w:rPr>
      </w:pPr>
    </w:p>
    <w:p w14:paraId="2DDB5367" w14:textId="77777777" w:rsidR="00AE07DF" w:rsidRPr="0004754D" w:rsidRDefault="00AE07DF" w:rsidP="00AE07DF">
      <w:pPr>
        <w:contextualSpacing/>
        <w:jc w:val="both"/>
        <w:rPr>
          <w:rFonts w:cs="Calibri"/>
        </w:rPr>
      </w:pPr>
    </w:p>
    <w:p w14:paraId="521B6B3C" w14:textId="77777777" w:rsidR="00AE07DF" w:rsidRDefault="00AE07DF" w:rsidP="00627BA1">
      <w:pPr>
        <w:numPr>
          <w:ilvl w:val="0"/>
          <w:numId w:val="1"/>
        </w:numPr>
        <w:contextualSpacing/>
        <w:jc w:val="both"/>
        <w:rPr>
          <w:rFonts w:cs="Calibri"/>
        </w:rPr>
      </w:pPr>
      <w:r>
        <w:rPr>
          <w:rFonts w:cs="Calibri"/>
        </w:rPr>
        <w:t xml:space="preserve">Referring to the UK, </w:t>
      </w:r>
      <w:proofErr w:type="spellStart"/>
      <w:r>
        <w:rPr>
          <w:rFonts w:cs="Calibri"/>
        </w:rPr>
        <w:t>PWc</w:t>
      </w:r>
      <w:proofErr w:type="spellEnd"/>
      <w:r>
        <w:rPr>
          <w:rFonts w:cs="Calibri"/>
        </w:rPr>
        <w:t xml:space="preserve"> UK comment as follows:</w:t>
      </w:r>
    </w:p>
    <w:p w14:paraId="00EDCE51" w14:textId="77777777" w:rsidR="00AE07DF" w:rsidRDefault="00AE07DF" w:rsidP="00AE07DF">
      <w:pPr>
        <w:numPr>
          <w:ilvl w:val="0"/>
          <w:numId w:val="5"/>
        </w:numPr>
        <w:contextualSpacing/>
        <w:jc w:val="both"/>
        <w:rPr>
          <w:rFonts w:cs="Calibri"/>
        </w:rPr>
      </w:pPr>
      <w:r>
        <w:rPr>
          <w:rFonts w:cs="Calibri"/>
        </w:rPr>
        <w:t>7m existing jobs displaced by automation from 2017 – 2037</w:t>
      </w:r>
    </w:p>
    <w:p w14:paraId="3E10B405" w14:textId="77777777" w:rsidR="00AE07DF" w:rsidRDefault="00AE07DF" w:rsidP="00AE07DF">
      <w:pPr>
        <w:numPr>
          <w:ilvl w:val="0"/>
          <w:numId w:val="5"/>
        </w:numPr>
        <w:contextualSpacing/>
        <w:jc w:val="both"/>
        <w:rPr>
          <w:rFonts w:cs="Calibri"/>
        </w:rPr>
      </w:pPr>
      <w:r>
        <w:rPr>
          <w:rFonts w:cs="Calibri"/>
        </w:rPr>
        <w:t>7.2m jobs created therefore a net gain of 200,000</w:t>
      </w:r>
    </w:p>
    <w:p w14:paraId="21D6FF4F" w14:textId="77777777" w:rsidR="00AE07DF" w:rsidRDefault="00AE07DF" w:rsidP="00AE07DF">
      <w:pPr>
        <w:numPr>
          <w:ilvl w:val="0"/>
          <w:numId w:val="5"/>
        </w:numPr>
        <w:contextualSpacing/>
        <w:jc w:val="both"/>
        <w:rPr>
          <w:rFonts w:cs="Calibri"/>
        </w:rPr>
      </w:pPr>
      <w:r>
        <w:rPr>
          <w:rFonts w:cs="Calibri"/>
        </w:rPr>
        <w:t>Whilst some sectors will benefit disproportionately i.e. Health, Scientific &amp; Technical, Communications, Hospitality, Education</w:t>
      </w:r>
    </w:p>
    <w:p w14:paraId="500D3052" w14:textId="77777777" w:rsidR="00AE07DF" w:rsidRDefault="00AE07DF" w:rsidP="00AE07DF">
      <w:pPr>
        <w:numPr>
          <w:ilvl w:val="0"/>
          <w:numId w:val="5"/>
        </w:numPr>
        <w:contextualSpacing/>
        <w:jc w:val="both"/>
        <w:rPr>
          <w:rFonts w:cs="Calibri"/>
        </w:rPr>
      </w:pPr>
      <w:r>
        <w:rPr>
          <w:rFonts w:cs="Calibri"/>
        </w:rPr>
        <w:t>Other sectors could fall i.e. Manufacturing – 25%, Transport &amp; Storage – 22%, Public Administration – 18%</w:t>
      </w:r>
    </w:p>
    <w:p w14:paraId="2503A397" w14:textId="77777777" w:rsidR="00AE07DF" w:rsidRDefault="0073290F" w:rsidP="00AE07DF">
      <w:pPr>
        <w:numPr>
          <w:ilvl w:val="0"/>
          <w:numId w:val="5"/>
        </w:numPr>
        <w:contextualSpacing/>
        <w:jc w:val="both"/>
        <w:rPr>
          <w:rFonts w:cs="Calibri"/>
        </w:rPr>
      </w:pPr>
      <w:hyperlink r:id="rId6" w:history="1">
        <w:r w:rsidR="00AE07DF" w:rsidRPr="004F406C">
          <w:rPr>
            <w:rStyle w:val="Hyperlink"/>
            <w:rFonts w:cs="Calibri"/>
          </w:rPr>
          <w:t>https://www.bbc.co.uk/news/business-44849492</w:t>
        </w:r>
      </w:hyperlink>
    </w:p>
    <w:p w14:paraId="17A79D9E" w14:textId="77777777" w:rsidR="00AE07DF" w:rsidRDefault="00AE07DF" w:rsidP="00AE07DF">
      <w:pPr>
        <w:contextualSpacing/>
        <w:jc w:val="both"/>
        <w:rPr>
          <w:rFonts w:cs="Calibri"/>
        </w:rPr>
      </w:pPr>
    </w:p>
    <w:p w14:paraId="14566E00" w14:textId="77777777" w:rsidR="00AE07DF" w:rsidRDefault="00AE07DF" w:rsidP="00AE07DF">
      <w:pPr>
        <w:ind w:left="1440"/>
        <w:contextualSpacing/>
        <w:jc w:val="both"/>
        <w:rPr>
          <w:rFonts w:cs="Calibri"/>
        </w:rPr>
      </w:pPr>
    </w:p>
    <w:p w14:paraId="52C6A0EF" w14:textId="77777777" w:rsidR="00AE07DF" w:rsidRDefault="00AE07DF" w:rsidP="00627BA1">
      <w:pPr>
        <w:numPr>
          <w:ilvl w:val="0"/>
          <w:numId w:val="1"/>
        </w:numPr>
        <w:contextualSpacing/>
        <w:jc w:val="both"/>
        <w:rPr>
          <w:rFonts w:cs="Calibri"/>
        </w:rPr>
      </w:pPr>
      <w:r w:rsidRPr="0004754D">
        <w:rPr>
          <w:rFonts w:cs="Calibri"/>
        </w:rPr>
        <w:t xml:space="preserve">The Plan has failed to adequately </w:t>
      </w:r>
      <w:r>
        <w:rPr>
          <w:rFonts w:cs="Calibri"/>
        </w:rPr>
        <w:t xml:space="preserve">demonstrate </w:t>
      </w:r>
      <w:r w:rsidRPr="0004754D">
        <w:rPr>
          <w:rFonts w:cs="Calibri"/>
        </w:rPr>
        <w:t>the significant impact future automation will have upon employment opportunities</w:t>
      </w:r>
      <w:r>
        <w:rPr>
          <w:rFonts w:cs="Calibri"/>
        </w:rPr>
        <w:t xml:space="preserve">. </w:t>
      </w:r>
      <w:r w:rsidRPr="0004754D">
        <w:rPr>
          <w:rFonts w:cs="Calibri"/>
        </w:rPr>
        <w:t xml:space="preserve">The lack of a commissioned report into this field of employment </w:t>
      </w:r>
      <w:r>
        <w:rPr>
          <w:rFonts w:cs="Calibri"/>
        </w:rPr>
        <w:t>could have resulted in a completely diffe</w:t>
      </w:r>
      <w:r w:rsidR="00F12112">
        <w:rPr>
          <w:rFonts w:cs="Calibri"/>
        </w:rPr>
        <w:t xml:space="preserve">rent analysis and outcome. </w:t>
      </w:r>
    </w:p>
    <w:p w14:paraId="2918CDBD" w14:textId="77777777" w:rsidR="00627BA1" w:rsidRDefault="00627BA1" w:rsidP="00627BA1">
      <w:pPr>
        <w:ind w:left="720"/>
        <w:contextualSpacing/>
        <w:jc w:val="both"/>
        <w:rPr>
          <w:rFonts w:cs="Calibri"/>
        </w:rPr>
      </w:pPr>
    </w:p>
    <w:p w14:paraId="37998821" w14:textId="5BB66E3B" w:rsidR="00AE07DF" w:rsidRDefault="00AE07DF" w:rsidP="00627BA1">
      <w:pPr>
        <w:numPr>
          <w:ilvl w:val="0"/>
          <w:numId w:val="1"/>
        </w:numPr>
        <w:contextualSpacing/>
        <w:jc w:val="both"/>
        <w:rPr>
          <w:rFonts w:cs="Calibri"/>
        </w:rPr>
      </w:pPr>
      <w:r w:rsidRPr="0004754D">
        <w:rPr>
          <w:rFonts w:cs="Calibri"/>
        </w:rPr>
        <w:t xml:space="preserve">SCDC have produced no evidence to show the number of jobs to be created during the lifetime of the current Plan. </w:t>
      </w:r>
      <w:r>
        <w:rPr>
          <w:rFonts w:cs="Calibri"/>
        </w:rPr>
        <w:t xml:space="preserve">Their future </w:t>
      </w:r>
      <w:r w:rsidRPr="0004754D">
        <w:rPr>
          <w:rFonts w:cs="Calibri"/>
        </w:rPr>
        <w:t xml:space="preserve">projections </w:t>
      </w:r>
      <w:r>
        <w:rPr>
          <w:rFonts w:cs="Calibri"/>
        </w:rPr>
        <w:t xml:space="preserve">of creating 6,500 jobs </w:t>
      </w:r>
      <w:r w:rsidRPr="0004754D">
        <w:rPr>
          <w:rFonts w:cs="Calibri"/>
        </w:rPr>
        <w:t>appear to be a triumph of optimism over logic and reasoning.</w:t>
      </w:r>
      <w:r>
        <w:rPr>
          <w:rFonts w:cs="Calibri"/>
        </w:rPr>
        <w:t xml:space="preserve"> There is little confidence they will succeed resulting in </w:t>
      </w:r>
      <w:r w:rsidRPr="005E19D0">
        <w:rPr>
          <w:rFonts w:cs="Calibri"/>
        </w:rPr>
        <w:t>11.7ha of food producing farmland</w:t>
      </w:r>
      <w:r w:rsidR="006A34F2">
        <w:rPr>
          <w:rFonts w:cs="Calibri"/>
        </w:rPr>
        <w:t xml:space="preserve"> being</w:t>
      </w:r>
      <w:r w:rsidRPr="005E19D0">
        <w:rPr>
          <w:rFonts w:cs="Calibri"/>
        </w:rPr>
        <w:t xml:space="preserve"> sacrificed to accommodate 4,028</w:t>
      </w:r>
      <w:r>
        <w:rPr>
          <w:rFonts w:cs="Calibri"/>
        </w:rPr>
        <w:t xml:space="preserve"> dwellings </w:t>
      </w:r>
      <w:r w:rsidRPr="005E19D0">
        <w:rPr>
          <w:rFonts w:cs="Calibri"/>
        </w:rPr>
        <w:t>on grade 2 prime agricultural land that are not required!</w:t>
      </w:r>
    </w:p>
    <w:p w14:paraId="180823DF" w14:textId="77777777" w:rsidR="00AE07DF" w:rsidRDefault="00AE07DF" w:rsidP="00AE07DF">
      <w:pPr>
        <w:ind w:left="1440"/>
        <w:contextualSpacing/>
        <w:jc w:val="both"/>
        <w:rPr>
          <w:rFonts w:cs="Calibri"/>
        </w:rPr>
      </w:pPr>
    </w:p>
    <w:p w14:paraId="0B54D93D" w14:textId="77777777" w:rsidR="001C308F" w:rsidRPr="0004754D" w:rsidRDefault="001C308F" w:rsidP="006F2516">
      <w:pPr>
        <w:ind w:left="720"/>
        <w:contextualSpacing/>
        <w:jc w:val="both"/>
        <w:rPr>
          <w:rFonts w:cs="Calibri"/>
        </w:rPr>
      </w:pPr>
      <w:r>
        <w:rPr>
          <w:rFonts w:cs="Calibri"/>
          <w:b/>
        </w:rPr>
        <w:t>Not Positively Prepared</w:t>
      </w:r>
      <w:r w:rsidRPr="0004754D">
        <w:rPr>
          <w:rFonts w:cs="Calibri"/>
          <w:b/>
        </w:rPr>
        <w:t xml:space="preserve"> – </w:t>
      </w:r>
      <w:r>
        <w:rPr>
          <w:rFonts w:cs="Calibri"/>
          <w:b/>
        </w:rPr>
        <w:t>Housing</w:t>
      </w:r>
    </w:p>
    <w:p w14:paraId="2011238E" w14:textId="77777777" w:rsidR="001C308F" w:rsidRDefault="001C308F" w:rsidP="001C308F">
      <w:pPr>
        <w:contextualSpacing/>
        <w:jc w:val="both"/>
        <w:rPr>
          <w:rFonts w:cs="Calibri"/>
        </w:rPr>
      </w:pPr>
    </w:p>
    <w:p w14:paraId="4C8DB92E" w14:textId="68BE378B" w:rsidR="001C308F" w:rsidRDefault="001C308F" w:rsidP="00627BA1">
      <w:pPr>
        <w:numPr>
          <w:ilvl w:val="0"/>
          <w:numId w:val="1"/>
        </w:numPr>
        <w:contextualSpacing/>
        <w:jc w:val="both"/>
        <w:rPr>
          <w:rFonts w:cs="Calibri"/>
        </w:rPr>
      </w:pPr>
      <w:r w:rsidRPr="00F5195E">
        <w:rPr>
          <w:rFonts w:cs="Calibri"/>
          <w:b/>
        </w:rPr>
        <w:t xml:space="preserve">On the basis that the allocation of Innocence Farm is unsound (submissions from </w:t>
      </w:r>
      <w:proofErr w:type="spellStart"/>
      <w:r w:rsidRPr="00F5195E">
        <w:rPr>
          <w:rFonts w:cs="Calibri"/>
          <w:b/>
        </w:rPr>
        <w:t>Katcag</w:t>
      </w:r>
      <w:proofErr w:type="spellEnd"/>
      <w:r w:rsidRPr="00F5195E">
        <w:rPr>
          <w:rFonts w:cs="Calibri"/>
          <w:b/>
        </w:rPr>
        <w:t xml:space="preserve"> and local Parish Councils),</w:t>
      </w:r>
      <w:r>
        <w:rPr>
          <w:rFonts w:cs="Calibri"/>
          <w:b/>
        </w:rPr>
        <w:t xml:space="preserve"> we additionally contend T</w:t>
      </w:r>
      <w:r w:rsidRPr="00F5195E">
        <w:rPr>
          <w:rFonts w:cs="Calibri"/>
          <w:b/>
        </w:rPr>
        <w:t>he Plan is further unsound in respect of the disproportionate amount of housing supply allocated to Felixstowe and the Trimley Villages</w:t>
      </w:r>
      <w:r w:rsidR="003B1606" w:rsidRPr="003B1606">
        <w:rPr>
          <w:rFonts w:cs="Calibri"/>
          <w:b/>
        </w:rPr>
        <w:t xml:space="preserve"> and the inability of the Villages to sustainably support the additional proposed growth</w:t>
      </w:r>
    </w:p>
    <w:p w14:paraId="7405F532" w14:textId="77777777" w:rsidR="001C308F" w:rsidRDefault="001C308F" w:rsidP="001C308F">
      <w:pPr>
        <w:ind w:left="1440"/>
        <w:contextualSpacing/>
        <w:jc w:val="both"/>
        <w:rPr>
          <w:rFonts w:cs="Calibri"/>
        </w:rPr>
      </w:pPr>
    </w:p>
    <w:p w14:paraId="239C770D" w14:textId="303F0763" w:rsidR="001C308F" w:rsidRDefault="001C308F" w:rsidP="00C952B0">
      <w:pPr>
        <w:numPr>
          <w:ilvl w:val="0"/>
          <w:numId w:val="1"/>
        </w:numPr>
        <w:contextualSpacing/>
        <w:jc w:val="both"/>
        <w:rPr>
          <w:rFonts w:cs="Calibri"/>
        </w:rPr>
      </w:pPr>
      <w:r w:rsidRPr="0004754D">
        <w:rPr>
          <w:rFonts w:cs="Calibri"/>
        </w:rPr>
        <w:t>The Plan has failed to</w:t>
      </w:r>
      <w:r w:rsidR="00C3791E">
        <w:rPr>
          <w:rFonts w:cs="Calibri"/>
        </w:rPr>
        <w:t xml:space="preserve"> </w:t>
      </w:r>
      <w:r w:rsidRPr="0004754D">
        <w:rPr>
          <w:rFonts w:cs="Calibri"/>
        </w:rPr>
        <w:t>demonstrate</w:t>
      </w:r>
      <w:r>
        <w:rPr>
          <w:rFonts w:cs="Calibri"/>
        </w:rPr>
        <w:t xml:space="preserve"> </w:t>
      </w:r>
      <w:r w:rsidRPr="0004754D">
        <w:rPr>
          <w:rFonts w:cs="Calibri"/>
        </w:rPr>
        <w:t>the need for such widespread development given the unrealistic assessment of employment growth</w:t>
      </w:r>
      <w:r>
        <w:rPr>
          <w:rFonts w:cs="Calibri"/>
        </w:rPr>
        <w:t>,</w:t>
      </w:r>
      <w:r w:rsidRPr="0004754D">
        <w:rPr>
          <w:rFonts w:cs="Calibri"/>
        </w:rPr>
        <w:t xml:space="preserve"> </w:t>
      </w:r>
      <w:r>
        <w:rPr>
          <w:rFonts w:cs="Calibri"/>
        </w:rPr>
        <w:t>upon the basis that job creation</w:t>
      </w:r>
      <w:r w:rsidRPr="0004754D">
        <w:rPr>
          <w:rFonts w:cs="Calibri"/>
        </w:rPr>
        <w:t xml:space="preserve"> drives housing</w:t>
      </w:r>
    </w:p>
    <w:p w14:paraId="448FF92D" w14:textId="77777777" w:rsidR="00C952B0" w:rsidRPr="00C952B0" w:rsidRDefault="00C952B0" w:rsidP="003B1606">
      <w:pPr>
        <w:contextualSpacing/>
        <w:jc w:val="both"/>
        <w:rPr>
          <w:rFonts w:cs="Calibri"/>
        </w:rPr>
      </w:pPr>
    </w:p>
    <w:p w14:paraId="625709D0" w14:textId="77777777" w:rsidR="001C308F" w:rsidRDefault="001C308F" w:rsidP="00627BA1">
      <w:pPr>
        <w:numPr>
          <w:ilvl w:val="0"/>
          <w:numId w:val="1"/>
        </w:numPr>
        <w:contextualSpacing/>
        <w:jc w:val="both"/>
        <w:rPr>
          <w:rFonts w:cs="Calibri"/>
        </w:rPr>
      </w:pPr>
      <w:r w:rsidRPr="00F5195E">
        <w:rPr>
          <w:rFonts w:cs="Calibri"/>
        </w:rPr>
        <w:t>When comparing the number</w:t>
      </w:r>
      <w:r>
        <w:rPr>
          <w:rFonts w:cs="Calibri"/>
        </w:rPr>
        <w:t xml:space="preserve"> </w:t>
      </w:r>
      <w:r w:rsidRPr="00F5195E">
        <w:rPr>
          <w:rFonts w:cs="Calibri"/>
        </w:rPr>
        <w:t xml:space="preserve">of dwellings </w:t>
      </w:r>
      <w:r>
        <w:rPr>
          <w:rFonts w:cs="Calibri"/>
        </w:rPr>
        <w:t xml:space="preserve">completed, </w:t>
      </w:r>
      <w:r w:rsidRPr="00F5195E">
        <w:rPr>
          <w:rFonts w:cs="Calibri"/>
        </w:rPr>
        <w:t>under construction</w:t>
      </w:r>
      <w:r>
        <w:rPr>
          <w:rFonts w:cs="Calibri"/>
        </w:rPr>
        <w:t xml:space="preserve"> and/or subject of permissions &amp; resolution etc</w:t>
      </w:r>
      <w:r w:rsidRPr="00F5195E">
        <w:rPr>
          <w:rFonts w:cs="Calibri"/>
        </w:rPr>
        <w:t>, on the Felixstowe r (including Walton and the Trimley villages) there is a clear imbalance in comparison with the rest of the district.</w:t>
      </w:r>
    </w:p>
    <w:p w14:paraId="402061EE" w14:textId="77777777" w:rsidR="00F12112" w:rsidRDefault="00F12112" w:rsidP="00F12112">
      <w:pPr>
        <w:ind w:left="720"/>
        <w:contextualSpacing/>
        <w:jc w:val="both"/>
        <w:rPr>
          <w:rFonts w:cs="Calibri"/>
        </w:rPr>
      </w:pPr>
    </w:p>
    <w:p w14:paraId="3559BA7C" w14:textId="7D0B2EF6" w:rsidR="00C3791E" w:rsidRDefault="00C3791E">
      <w:pPr>
        <w:spacing w:after="0" w:line="240" w:lineRule="auto"/>
        <w:rPr>
          <w:rFonts w:cs="Calibri"/>
        </w:rPr>
      </w:pPr>
      <w:r>
        <w:rPr>
          <w:rFonts w:cs="Calibri"/>
        </w:rPr>
        <w:br w:type="page"/>
      </w:r>
    </w:p>
    <w:p w14:paraId="4E53E46A" w14:textId="77777777" w:rsidR="001C308F" w:rsidRDefault="001C308F" w:rsidP="00627BA1">
      <w:pPr>
        <w:pStyle w:val="ListParagraph"/>
        <w:numPr>
          <w:ilvl w:val="0"/>
          <w:numId w:val="1"/>
        </w:numPr>
        <w:rPr>
          <w:rFonts w:cs="Calibri"/>
        </w:rPr>
      </w:pPr>
      <w:r>
        <w:rPr>
          <w:rFonts w:cs="Calibri"/>
        </w:rPr>
        <w:lastRenderedPageBreak/>
        <w:t>Housing Growth between 2016 – 31.03.2018</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839"/>
        <w:gridCol w:w="2487"/>
      </w:tblGrid>
      <w:tr w:rsidR="001C308F" w:rsidRPr="00D551C2" w14:paraId="5E64ACCD" w14:textId="77777777" w:rsidTr="00741075">
        <w:tc>
          <w:tcPr>
            <w:tcW w:w="3001" w:type="dxa"/>
          </w:tcPr>
          <w:p w14:paraId="036E8749" w14:textId="77777777" w:rsidR="001C308F" w:rsidRPr="00D551C2" w:rsidRDefault="001C308F" w:rsidP="00741075">
            <w:pPr>
              <w:pStyle w:val="ListParagraph"/>
              <w:ind w:left="0"/>
              <w:jc w:val="center"/>
              <w:rPr>
                <w:rFonts w:cs="Calibri"/>
                <w:color w:val="4F81BD"/>
              </w:rPr>
            </w:pPr>
            <w:r w:rsidRPr="00D551C2">
              <w:rPr>
                <w:rFonts w:cs="Calibri"/>
                <w:color w:val="4F81BD"/>
              </w:rPr>
              <w:t>Parish</w:t>
            </w:r>
          </w:p>
        </w:tc>
        <w:tc>
          <w:tcPr>
            <w:tcW w:w="2935" w:type="dxa"/>
          </w:tcPr>
          <w:p w14:paraId="4248A7A7" w14:textId="77777777" w:rsidR="001C308F" w:rsidRPr="00D551C2" w:rsidRDefault="001C308F" w:rsidP="00741075">
            <w:pPr>
              <w:pStyle w:val="ListParagraph"/>
              <w:ind w:left="0"/>
              <w:jc w:val="center"/>
              <w:rPr>
                <w:rFonts w:cs="Calibri"/>
                <w:color w:val="4F81BD"/>
              </w:rPr>
            </w:pPr>
            <w:r w:rsidRPr="00D551C2">
              <w:rPr>
                <w:rFonts w:cs="Calibri"/>
                <w:color w:val="4F81BD"/>
              </w:rPr>
              <w:t>Location</w:t>
            </w:r>
          </w:p>
        </w:tc>
        <w:tc>
          <w:tcPr>
            <w:tcW w:w="2586" w:type="dxa"/>
          </w:tcPr>
          <w:p w14:paraId="78548AFB" w14:textId="77777777" w:rsidR="001C308F" w:rsidRPr="00D551C2" w:rsidRDefault="001C308F" w:rsidP="00741075">
            <w:pPr>
              <w:pStyle w:val="ListParagraph"/>
              <w:ind w:left="0"/>
              <w:jc w:val="center"/>
              <w:rPr>
                <w:rFonts w:cs="Calibri"/>
                <w:color w:val="4F81BD"/>
              </w:rPr>
            </w:pPr>
            <w:r w:rsidRPr="00D551C2">
              <w:rPr>
                <w:rFonts w:cs="Calibri"/>
                <w:color w:val="4F81BD"/>
              </w:rPr>
              <w:t>No of Proposed dwellings as at 2016</w:t>
            </w:r>
          </w:p>
        </w:tc>
      </w:tr>
      <w:tr w:rsidR="001C308F" w:rsidRPr="00D551C2" w14:paraId="36F11037" w14:textId="77777777" w:rsidTr="00741075">
        <w:tc>
          <w:tcPr>
            <w:tcW w:w="3001" w:type="dxa"/>
          </w:tcPr>
          <w:p w14:paraId="57462AC9" w14:textId="77777777" w:rsidR="001C308F" w:rsidRPr="00D551C2" w:rsidRDefault="001C308F" w:rsidP="00741075">
            <w:pPr>
              <w:pStyle w:val="ListParagraph"/>
              <w:ind w:left="0"/>
              <w:jc w:val="center"/>
              <w:rPr>
                <w:rFonts w:cs="Calibri"/>
              </w:rPr>
            </w:pPr>
            <w:r w:rsidRPr="00D551C2">
              <w:rPr>
                <w:rFonts w:cs="Calibri"/>
              </w:rPr>
              <w:t>Felixstowe</w:t>
            </w:r>
          </w:p>
        </w:tc>
        <w:tc>
          <w:tcPr>
            <w:tcW w:w="2935" w:type="dxa"/>
          </w:tcPr>
          <w:p w14:paraId="39E43397" w14:textId="77777777" w:rsidR="001C308F" w:rsidRPr="00D551C2" w:rsidRDefault="001C308F" w:rsidP="00741075">
            <w:pPr>
              <w:pStyle w:val="ListParagraph"/>
              <w:ind w:left="0"/>
              <w:jc w:val="center"/>
              <w:rPr>
                <w:rFonts w:cs="Calibri"/>
              </w:rPr>
            </w:pPr>
            <w:r w:rsidRPr="00D551C2">
              <w:rPr>
                <w:rFonts w:cs="Calibri"/>
              </w:rPr>
              <w:t>Walton Green North</w:t>
            </w:r>
          </w:p>
        </w:tc>
        <w:tc>
          <w:tcPr>
            <w:tcW w:w="2586" w:type="dxa"/>
          </w:tcPr>
          <w:p w14:paraId="029C0824" w14:textId="77777777" w:rsidR="001C308F" w:rsidRPr="00D551C2" w:rsidRDefault="001C308F" w:rsidP="00741075">
            <w:pPr>
              <w:pStyle w:val="ListParagraph"/>
              <w:ind w:left="0"/>
              <w:jc w:val="center"/>
              <w:rPr>
                <w:rFonts w:cs="Calibri"/>
              </w:rPr>
            </w:pPr>
            <w:r w:rsidRPr="00D551C2">
              <w:rPr>
                <w:rFonts w:cs="Calibri"/>
              </w:rPr>
              <w:t>385</w:t>
            </w:r>
          </w:p>
        </w:tc>
      </w:tr>
      <w:tr w:rsidR="001C308F" w:rsidRPr="00D551C2" w14:paraId="42CFB52E" w14:textId="77777777" w:rsidTr="00741075">
        <w:tc>
          <w:tcPr>
            <w:tcW w:w="3001" w:type="dxa"/>
          </w:tcPr>
          <w:p w14:paraId="5907DE3B" w14:textId="77777777" w:rsidR="001C308F" w:rsidRPr="00D551C2" w:rsidRDefault="001C308F" w:rsidP="00741075">
            <w:pPr>
              <w:pStyle w:val="ListParagraph"/>
              <w:ind w:left="0"/>
              <w:jc w:val="center"/>
              <w:rPr>
                <w:rFonts w:cs="Calibri"/>
              </w:rPr>
            </w:pPr>
          </w:p>
        </w:tc>
        <w:tc>
          <w:tcPr>
            <w:tcW w:w="2935" w:type="dxa"/>
          </w:tcPr>
          <w:p w14:paraId="1DE55C85" w14:textId="77777777" w:rsidR="001C308F" w:rsidRPr="00D551C2" w:rsidRDefault="001C308F" w:rsidP="00741075">
            <w:pPr>
              <w:pStyle w:val="ListParagraph"/>
              <w:ind w:left="0"/>
              <w:jc w:val="center"/>
              <w:rPr>
                <w:rFonts w:cs="Calibri"/>
              </w:rPr>
            </w:pPr>
            <w:r w:rsidRPr="00D551C2">
              <w:rPr>
                <w:rFonts w:cs="Calibri"/>
              </w:rPr>
              <w:t xml:space="preserve">Walton Green South </w:t>
            </w:r>
          </w:p>
        </w:tc>
        <w:tc>
          <w:tcPr>
            <w:tcW w:w="2586" w:type="dxa"/>
          </w:tcPr>
          <w:p w14:paraId="031B210E" w14:textId="77777777" w:rsidR="001C308F" w:rsidRPr="00D551C2" w:rsidRDefault="001C308F" w:rsidP="00741075">
            <w:pPr>
              <w:pStyle w:val="ListParagraph"/>
              <w:ind w:left="0"/>
              <w:jc w:val="center"/>
              <w:rPr>
                <w:rFonts w:cs="Calibri"/>
              </w:rPr>
            </w:pPr>
            <w:r w:rsidRPr="00D551C2">
              <w:rPr>
                <w:rFonts w:cs="Calibri"/>
              </w:rPr>
              <w:t>190</w:t>
            </w:r>
          </w:p>
        </w:tc>
      </w:tr>
      <w:tr w:rsidR="001C308F" w:rsidRPr="00D551C2" w14:paraId="739CF553" w14:textId="77777777" w:rsidTr="00741075">
        <w:tc>
          <w:tcPr>
            <w:tcW w:w="3001" w:type="dxa"/>
          </w:tcPr>
          <w:p w14:paraId="35668E2A" w14:textId="77777777" w:rsidR="001C308F" w:rsidRPr="00D551C2" w:rsidRDefault="001C308F" w:rsidP="00741075">
            <w:pPr>
              <w:pStyle w:val="ListParagraph"/>
              <w:ind w:left="0"/>
              <w:jc w:val="center"/>
              <w:rPr>
                <w:rFonts w:cs="Calibri"/>
              </w:rPr>
            </w:pPr>
          </w:p>
        </w:tc>
        <w:tc>
          <w:tcPr>
            <w:tcW w:w="2935" w:type="dxa"/>
          </w:tcPr>
          <w:p w14:paraId="3A68B3AE" w14:textId="77777777" w:rsidR="001C308F" w:rsidRPr="00D551C2" w:rsidRDefault="001C308F" w:rsidP="00741075">
            <w:pPr>
              <w:pStyle w:val="ListParagraph"/>
              <w:ind w:left="0"/>
              <w:jc w:val="center"/>
              <w:rPr>
                <w:rFonts w:cs="Calibri"/>
              </w:rPr>
            </w:pPr>
            <w:r w:rsidRPr="00D551C2">
              <w:rPr>
                <w:rFonts w:cs="Calibri"/>
              </w:rPr>
              <w:t>Conway Close</w:t>
            </w:r>
          </w:p>
        </w:tc>
        <w:tc>
          <w:tcPr>
            <w:tcW w:w="2586" w:type="dxa"/>
          </w:tcPr>
          <w:p w14:paraId="5DC1EC8E" w14:textId="77777777" w:rsidR="001C308F" w:rsidRPr="00D551C2" w:rsidRDefault="001C308F" w:rsidP="00741075">
            <w:pPr>
              <w:pStyle w:val="ListParagraph"/>
              <w:ind w:left="0"/>
              <w:jc w:val="center"/>
              <w:rPr>
                <w:rFonts w:cs="Calibri"/>
              </w:rPr>
            </w:pPr>
            <w:r w:rsidRPr="00D551C2">
              <w:rPr>
                <w:rFonts w:cs="Calibri"/>
              </w:rPr>
              <w:t>153</w:t>
            </w:r>
          </w:p>
        </w:tc>
      </w:tr>
      <w:tr w:rsidR="001C308F" w:rsidRPr="00D551C2" w14:paraId="6D4EB849" w14:textId="77777777" w:rsidTr="00741075">
        <w:tc>
          <w:tcPr>
            <w:tcW w:w="3001" w:type="dxa"/>
          </w:tcPr>
          <w:p w14:paraId="677C6703" w14:textId="77777777" w:rsidR="001C308F" w:rsidRPr="00D551C2" w:rsidRDefault="001C308F" w:rsidP="00741075">
            <w:pPr>
              <w:pStyle w:val="ListParagraph"/>
              <w:ind w:left="0"/>
              <w:jc w:val="center"/>
              <w:rPr>
                <w:rFonts w:cs="Calibri"/>
              </w:rPr>
            </w:pPr>
          </w:p>
        </w:tc>
        <w:tc>
          <w:tcPr>
            <w:tcW w:w="2935" w:type="dxa"/>
          </w:tcPr>
          <w:p w14:paraId="2A88D3A7" w14:textId="77777777" w:rsidR="001C308F" w:rsidRPr="00D551C2" w:rsidRDefault="001C308F" w:rsidP="00741075">
            <w:pPr>
              <w:pStyle w:val="ListParagraph"/>
              <w:ind w:left="0"/>
              <w:jc w:val="center"/>
              <w:rPr>
                <w:rFonts w:cs="Calibri"/>
              </w:rPr>
            </w:pPr>
            <w:proofErr w:type="spellStart"/>
            <w:r w:rsidRPr="00D551C2">
              <w:rPr>
                <w:rFonts w:cs="Calibri"/>
              </w:rPr>
              <w:t>Anzani</w:t>
            </w:r>
            <w:proofErr w:type="spellEnd"/>
            <w:r w:rsidRPr="00D551C2">
              <w:rPr>
                <w:rFonts w:cs="Calibri"/>
              </w:rPr>
              <w:t xml:space="preserve"> House</w:t>
            </w:r>
          </w:p>
        </w:tc>
        <w:tc>
          <w:tcPr>
            <w:tcW w:w="2586" w:type="dxa"/>
          </w:tcPr>
          <w:p w14:paraId="5E2C8748" w14:textId="77777777" w:rsidR="001C308F" w:rsidRPr="00D551C2" w:rsidRDefault="001C308F" w:rsidP="00741075">
            <w:pPr>
              <w:pStyle w:val="ListParagraph"/>
              <w:ind w:left="0"/>
              <w:jc w:val="center"/>
              <w:rPr>
                <w:rFonts w:cs="Calibri"/>
              </w:rPr>
            </w:pPr>
            <w:r w:rsidRPr="00D551C2">
              <w:rPr>
                <w:rFonts w:cs="Calibri"/>
              </w:rPr>
              <w:t>197</w:t>
            </w:r>
          </w:p>
        </w:tc>
      </w:tr>
      <w:tr w:rsidR="001C308F" w:rsidRPr="00D551C2" w14:paraId="5FCEF934" w14:textId="77777777" w:rsidTr="00741075">
        <w:tc>
          <w:tcPr>
            <w:tcW w:w="3001" w:type="dxa"/>
          </w:tcPr>
          <w:p w14:paraId="0000AE47" w14:textId="77777777" w:rsidR="001C308F" w:rsidRPr="00D551C2" w:rsidRDefault="001C308F" w:rsidP="00741075">
            <w:pPr>
              <w:pStyle w:val="ListParagraph"/>
              <w:ind w:left="0"/>
              <w:jc w:val="center"/>
              <w:rPr>
                <w:rFonts w:cs="Calibri"/>
              </w:rPr>
            </w:pPr>
          </w:p>
        </w:tc>
        <w:tc>
          <w:tcPr>
            <w:tcW w:w="2935" w:type="dxa"/>
          </w:tcPr>
          <w:p w14:paraId="352A80AF" w14:textId="77777777" w:rsidR="001C308F" w:rsidRPr="00D551C2" w:rsidRDefault="001C308F" w:rsidP="00741075">
            <w:pPr>
              <w:pStyle w:val="ListParagraph"/>
              <w:ind w:left="0"/>
              <w:jc w:val="center"/>
              <w:rPr>
                <w:rFonts w:cs="Calibri"/>
              </w:rPr>
            </w:pPr>
            <w:r w:rsidRPr="00D551C2">
              <w:rPr>
                <w:rFonts w:cs="Calibri"/>
              </w:rPr>
              <w:t>Ferry Road</w:t>
            </w:r>
          </w:p>
        </w:tc>
        <w:tc>
          <w:tcPr>
            <w:tcW w:w="2586" w:type="dxa"/>
          </w:tcPr>
          <w:p w14:paraId="3A977778" w14:textId="77777777" w:rsidR="001C308F" w:rsidRPr="00D551C2" w:rsidRDefault="001C308F" w:rsidP="00741075">
            <w:pPr>
              <w:pStyle w:val="ListParagraph"/>
              <w:ind w:left="0"/>
              <w:jc w:val="center"/>
              <w:rPr>
                <w:rFonts w:cs="Calibri"/>
              </w:rPr>
            </w:pPr>
            <w:r w:rsidRPr="00D551C2">
              <w:rPr>
                <w:rFonts w:cs="Calibri"/>
              </w:rPr>
              <w:t>198</w:t>
            </w:r>
          </w:p>
        </w:tc>
      </w:tr>
      <w:tr w:rsidR="001C308F" w:rsidRPr="00D551C2" w14:paraId="4E9895EE" w14:textId="77777777" w:rsidTr="00741075">
        <w:tc>
          <w:tcPr>
            <w:tcW w:w="3001" w:type="dxa"/>
          </w:tcPr>
          <w:p w14:paraId="223B2C17" w14:textId="77777777" w:rsidR="001C308F" w:rsidRPr="00D551C2" w:rsidRDefault="001C308F" w:rsidP="00741075">
            <w:pPr>
              <w:pStyle w:val="ListParagraph"/>
              <w:ind w:left="0"/>
              <w:jc w:val="center"/>
              <w:rPr>
                <w:rFonts w:cs="Calibri"/>
              </w:rPr>
            </w:pPr>
          </w:p>
        </w:tc>
        <w:tc>
          <w:tcPr>
            <w:tcW w:w="2935" w:type="dxa"/>
          </w:tcPr>
          <w:p w14:paraId="53172CEB" w14:textId="77777777" w:rsidR="001C308F" w:rsidRPr="00D551C2" w:rsidRDefault="001C308F" w:rsidP="00741075">
            <w:pPr>
              <w:pStyle w:val="ListParagraph"/>
              <w:ind w:left="0"/>
              <w:jc w:val="center"/>
              <w:rPr>
                <w:rFonts w:cs="Calibri"/>
              </w:rPr>
            </w:pPr>
            <w:r w:rsidRPr="00D551C2">
              <w:rPr>
                <w:rFonts w:cs="Calibri"/>
              </w:rPr>
              <w:t>Gulpher Road/</w:t>
            </w:r>
            <w:proofErr w:type="spellStart"/>
            <w:r w:rsidRPr="00D551C2">
              <w:rPr>
                <w:rFonts w:cs="Calibri"/>
              </w:rPr>
              <w:t>Candlet</w:t>
            </w:r>
            <w:proofErr w:type="spellEnd"/>
            <w:r w:rsidRPr="00D551C2">
              <w:rPr>
                <w:rFonts w:cs="Calibri"/>
              </w:rPr>
              <w:t xml:space="preserve"> Road</w:t>
            </w:r>
          </w:p>
        </w:tc>
        <w:tc>
          <w:tcPr>
            <w:tcW w:w="2586" w:type="dxa"/>
          </w:tcPr>
          <w:p w14:paraId="3B2326E9" w14:textId="77777777" w:rsidR="001C308F" w:rsidRPr="00D551C2" w:rsidRDefault="001C308F" w:rsidP="00741075">
            <w:pPr>
              <w:pStyle w:val="ListParagraph"/>
              <w:ind w:left="0"/>
              <w:jc w:val="center"/>
              <w:rPr>
                <w:rFonts w:cs="Calibri"/>
              </w:rPr>
            </w:pPr>
            <w:r w:rsidRPr="00D551C2">
              <w:rPr>
                <w:rFonts w:cs="Calibri"/>
              </w:rPr>
              <w:t>560</w:t>
            </w:r>
          </w:p>
        </w:tc>
      </w:tr>
      <w:tr w:rsidR="001C308F" w:rsidRPr="00D551C2" w14:paraId="0C3A7CE9" w14:textId="77777777" w:rsidTr="00741075">
        <w:tc>
          <w:tcPr>
            <w:tcW w:w="3001" w:type="dxa"/>
          </w:tcPr>
          <w:p w14:paraId="4EBCAAC5" w14:textId="77777777" w:rsidR="001C308F" w:rsidRPr="00D551C2" w:rsidRDefault="001C308F" w:rsidP="00741075">
            <w:pPr>
              <w:pStyle w:val="ListParagraph"/>
              <w:ind w:left="0"/>
              <w:jc w:val="center"/>
              <w:rPr>
                <w:rFonts w:cs="Calibri"/>
              </w:rPr>
            </w:pPr>
            <w:r w:rsidRPr="00D551C2">
              <w:rPr>
                <w:rFonts w:cs="Calibri"/>
              </w:rPr>
              <w:t>Trimley St Martin</w:t>
            </w:r>
          </w:p>
        </w:tc>
        <w:tc>
          <w:tcPr>
            <w:tcW w:w="2935" w:type="dxa"/>
          </w:tcPr>
          <w:p w14:paraId="36F02334" w14:textId="77777777" w:rsidR="001C308F" w:rsidRPr="00D551C2" w:rsidRDefault="001C308F" w:rsidP="00741075">
            <w:pPr>
              <w:pStyle w:val="ListParagraph"/>
              <w:ind w:left="0"/>
              <w:jc w:val="center"/>
              <w:rPr>
                <w:rFonts w:cs="Calibri"/>
              </w:rPr>
            </w:pPr>
            <w:r>
              <w:rPr>
                <w:rFonts w:cs="Calibri"/>
              </w:rPr>
              <w:t xml:space="preserve"> </w:t>
            </w:r>
            <w:r w:rsidRPr="00D551C2">
              <w:rPr>
                <w:rFonts w:cs="Calibri"/>
              </w:rPr>
              <w:t>Howlett Way</w:t>
            </w:r>
          </w:p>
        </w:tc>
        <w:tc>
          <w:tcPr>
            <w:tcW w:w="2586" w:type="dxa"/>
          </w:tcPr>
          <w:p w14:paraId="3583615A" w14:textId="77777777" w:rsidR="001C308F" w:rsidRPr="00D551C2" w:rsidRDefault="001C308F" w:rsidP="00741075">
            <w:pPr>
              <w:pStyle w:val="ListParagraph"/>
              <w:ind w:left="0"/>
              <w:jc w:val="center"/>
              <w:rPr>
                <w:rFonts w:cs="Calibri"/>
              </w:rPr>
            </w:pPr>
            <w:r w:rsidRPr="00D551C2">
              <w:rPr>
                <w:rFonts w:cs="Calibri"/>
              </w:rPr>
              <w:t>360</w:t>
            </w:r>
          </w:p>
        </w:tc>
      </w:tr>
      <w:tr w:rsidR="001C308F" w:rsidRPr="00D551C2" w14:paraId="6964CF1B" w14:textId="77777777" w:rsidTr="00741075">
        <w:tc>
          <w:tcPr>
            <w:tcW w:w="3001" w:type="dxa"/>
          </w:tcPr>
          <w:p w14:paraId="3AD6A780" w14:textId="77777777" w:rsidR="001C308F" w:rsidRPr="00D551C2" w:rsidRDefault="001C308F" w:rsidP="00741075">
            <w:pPr>
              <w:pStyle w:val="ListParagraph"/>
              <w:ind w:left="0"/>
              <w:jc w:val="center"/>
              <w:rPr>
                <w:rFonts w:cs="Calibri"/>
              </w:rPr>
            </w:pPr>
          </w:p>
        </w:tc>
        <w:tc>
          <w:tcPr>
            <w:tcW w:w="2935" w:type="dxa"/>
          </w:tcPr>
          <w:p w14:paraId="57E49D75" w14:textId="77777777" w:rsidR="001C308F" w:rsidRPr="00D551C2" w:rsidRDefault="001C308F" w:rsidP="00741075">
            <w:pPr>
              <w:pStyle w:val="ListParagraph"/>
              <w:ind w:left="0"/>
              <w:jc w:val="center"/>
              <w:rPr>
                <w:rFonts w:cs="Calibri"/>
              </w:rPr>
            </w:pPr>
            <w:r w:rsidRPr="00D551C2">
              <w:rPr>
                <w:rFonts w:cs="Calibri"/>
              </w:rPr>
              <w:t>Mushroom Farm (now Cavendish Grove)</w:t>
            </w:r>
          </w:p>
        </w:tc>
        <w:tc>
          <w:tcPr>
            <w:tcW w:w="2586" w:type="dxa"/>
          </w:tcPr>
          <w:p w14:paraId="7879880A" w14:textId="77777777" w:rsidR="001C308F" w:rsidRPr="00D551C2" w:rsidRDefault="001C308F" w:rsidP="00741075">
            <w:pPr>
              <w:pStyle w:val="ListParagraph"/>
              <w:ind w:left="0"/>
              <w:jc w:val="center"/>
              <w:rPr>
                <w:rFonts w:cs="Calibri"/>
              </w:rPr>
            </w:pPr>
            <w:r w:rsidRPr="00D551C2">
              <w:rPr>
                <w:rFonts w:cs="Calibri"/>
              </w:rPr>
              <w:t>66</w:t>
            </w:r>
          </w:p>
        </w:tc>
      </w:tr>
      <w:tr w:rsidR="001C308F" w:rsidRPr="00D551C2" w14:paraId="32B35ED8" w14:textId="77777777" w:rsidTr="00741075">
        <w:tc>
          <w:tcPr>
            <w:tcW w:w="3001" w:type="dxa"/>
          </w:tcPr>
          <w:p w14:paraId="5B6A392A" w14:textId="77777777" w:rsidR="001C308F" w:rsidRPr="00D551C2" w:rsidRDefault="001C308F" w:rsidP="00741075">
            <w:pPr>
              <w:pStyle w:val="ListParagraph"/>
              <w:ind w:left="0"/>
              <w:jc w:val="center"/>
              <w:rPr>
                <w:rFonts w:cs="Calibri"/>
              </w:rPr>
            </w:pPr>
          </w:p>
        </w:tc>
        <w:tc>
          <w:tcPr>
            <w:tcW w:w="2935" w:type="dxa"/>
          </w:tcPr>
          <w:p w14:paraId="151FF1DA" w14:textId="77777777" w:rsidR="001C308F" w:rsidRPr="00D551C2" w:rsidRDefault="001C308F" w:rsidP="00741075">
            <w:pPr>
              <w:pStyle w:val="ListParagraph"/>
              <w:ind w:left="0"/>
              <w:jc w:val="center"/>
              <w:rPr>
                <w:rFonts w:cs="Calibri"/>
              </w:rPr>
            </w:pPr>
            <w:r w:rsidRPr="00D551C2">
              <w:rPr>
                <w:rFonts w:cs="Calibri"/>
              </w:rPr>
              <w:t>Trimley Sports &amp; Social or Land opposite Hand in Hand</w:t>
            </w:r>
          </w:p>
        </w:tc>
        <w:tc>
          <w:tcPr>
            <w:tcW w:w="2586" w:type="dxa"/>
          </w:tcPr>
          <w:p w14:paraId="058DF9C3" w14:textId="77777777" w:rsidR="001C308F" w:rsidRPr="00D551C2" w:rsidRDefault="001C308F" w:rsidP="00741075">
            <w:pPr>
              <w:pStyle w:val="ListParagraph"/>
              <w:ind w:left="0"/>
              <w:jc w:val="center"/>
              <w:rPr>
                <w:rFonts w:cs="Calibri"/>
              </w:rPr>
            </w:pPr>
            <w:r w:rsidRPr="00D551C2">
              <w:rPr>
                <w:rFonts w:cs="Calibri"/>
              </w:rPr>
              <w:t>70</w:t>
            </w:r>
          </w:p>
        </w:tc>
      </w:tr>
      <w:tr w:rsidR="001C308F" w:rsidRPr="00D551C2" w14:paraId="40D295A6" w14:textId="77777777" w:rsidTr="00741075">
        <w:tc>
          <w:tcPr>
            <w:tcW w:w="3001" w:type="dxa"/>
          </w:tcPr>
          <w:p w14:paraId="264A565E" w14:textId="77777777" w:rsidR="001C308F" w:rsidRPr="00D551C2" w:rsidRDefault="001C308F" w:rsidP="00741075">
            <w:pPr>
              <w:pStyle w:val="ListParagraph"/>
              <w:ind w:left="0"/>
              <w:jc w:val="center"/>
              <w:rPr>
                <w:rFonts w:cs="Calibri"/>
              </w:rPr>
            </w:pPr>
          </w:p>
        </w:tc>
        <w:tc>
          <w:tcPr>
            <w:tcW w:w="2935" w:type="dxa"/>
          </w:tcPr>
          <w:p w14:paraId="0CE01C15" w14:textId="77777777" w:rsidR="001C308F" w:rsidRPr="00D551C2" w:rsidRDefault="001C308F" w:rsidP="00741075">
            <w:pPr>
              <w:pStyle w:val="ListParagraph"/>
              <w:ind w:left="0"/>
              <w:jc w:val="center"/>
              <w:rPr>
                <w:rFonts w:cs="Calibri"/>
              </w:rPr>
            </w:pPr>
            <w:r w:rsidRPr="00D551C2">
              <w:rPr>
                <w:rFonts w:cs="Calibri"/>
              </w:rPr>
              <w:t>Seamark Nunn</w:t>
            </w:r>
          </w:p>
        </w:tc>
        <w:tc>
          <w:tcPr>
            <w:tcW w:w="2586" w:type="dxa"/>
          </w:tcPr>
          <w:p w14:paraId="0CA2137F" w14:textId="77777777" w:rsidR="001C308F" w:rsidRPr="00D551C2" w:rsidRDefault="001C308F" w:rsidP="00741075">
            <w:pPr>
              <w:pStyle w:val="ListParagraph"/>
              <w:ind w:left="0"/>
              <w:jc w:val="center"/>
              <w:rPr>
                <w:rFonts w:cs="Calibri"/>
              </w:rPr>
            </w:pPr>
            <w:r w:rsidRPr="00D551C2">
              <w:rPr>
                <w:rFonts w:cs="Calibri"/>
              </w:rPr>
              <w:t>69</w:t>
            </w:r>
          </w:p>
        </w:tc>
      </w:tr>
      <w:tr w:rsidR="001C308F" w:rsidRPr="00D551C2" w14:paraId="2B26B10A" w14:textId="77777777" w:rsidTr="00741075">
        <w:tc>
          <w:tcPr>
            <w:tcW w:w="3001" w:type="dxa"/>
          </w:tcPr>
          <w:p w14:paraId="69C3E914" w14:textId="77777777" w:rsidR="001C308F" w:rsidRPr="00D551C2" w:rsidRDefault="001C308F" w:rsidP="00741075">
            <w:pPr>
              <w:pStyle w:val="ListParagraph"/>
              <w:ind w:left="0"/>
              <w:jc w:val="center"/>
              <w:rPr>
                <w:rFonts w:cs="Calibri"/>
              </w:rPr>
            </w:pPr>
            <w:r w:rsidRPr="00D551C2">
              <w:rPr>
                <w:rFonts w:cs="Calibri"/>
              </w:rPr>
              <w:t>Trimley St Mary</w:t>
            </w:r>
          </w:p>
        </w:tc>
        <w:tc>
          <w:tcPr>
            <w:tcW w:w="2935" w:type="dxa"/>
          </w:tcPr>
          <w:p w14:paraId="1BD19410" w14:textId="77777777" w:rsidR="001C308F" w:rsidRPr="00D551C2" w:rsidRDefault="001C308F" w:rsidP="00741075">
            <w:pPr>
              <w:pStyle w:val="ListParagraph"/>
              <w:ind w:left="0"/>
              <w:jc w:val="center"/>
              <w:rPr>
                <w:rFonts w:cs="Calibri"/>
              </w:rPr>
            </w:pPr>
            <w:r w:rsidRPr="00D551C2">
              <w:rPr>
                <w:rFonts w:cs="Calibri"/>
              </w:rPr>
              <w:t>Land adjacent Mill Farm/Thomas Avenue</w:t>
            </w:r>
          </w:p>
        </w:tc>
        <w:tc>
          <w:tcPr>
            <w:tcW w:w="2586" w:type="dxa"/>
          </w:tcPr>
          <w:p w14:paraId="5229DD96" w14:textId="77777777" w:rsidR="001C308F" w:rsidRPr="00D551C2" w:rsidRDefault="001C308F" w:rsidP="00741075">
            <w:pPr>
              <w:pStyle w:val="ListParagraph"/>
              <w:ind w:left="0"/>
              <w:jc w:val="center"/>
              <w:rPr>
                <w:rFonts w:cs="Calibri"/>
              </w:rPr>
            </w:pPr>
            <w:r w:rsidRPr="00D551C2">
              <w:rPr>
                <w:rFonts w:cs="Calibri"/>
              </w:rPr>
              <w:t>50</w:t>
            </w:r>
          </w:p>
        </w:tc>
      </w:tr>
      <w:tr w:rsidR="001C308F" w:rsidRPr="00D551C2" w14:paraId="00853624" w14:textId="77777777" w:rsidTr="00741075">
        <w:tc>
          <w:tcPr>
            <w:tcW w:w="3001" w:type="dxa"/>
          </w:tcPr>
          <w:p w14:paraId="0662958B" w14:textId="77777777" w:rsidR="001C308F" w:rsidRPr="00D551C2" w:rsidRDefault="001C308F" w:rsidP="00741075">
            <w:pPr>
              <w:pStyle w:val="ListParagraph"/>
              <w:ind w:left="0"/>
              <w:jc w:val="center"/>
              <w:rPr>
                <w:rFonts w:cs="Calibri"/>
              </w:rPr>
            </w:pPr>
          </w:p>
        </w:tc>
        <w:tc>
          <w:tcPr>
            <w:tcW w:w="2935" w:type="dxa"/>
          </w:tcPr>
          <w:p w14:paraId="0F0F9EDC" w14:textId="77777777" w:rsidR="001C308F" w:rsidRPr="00D551C2" w:rsidRDefault="001C308F" w:rsidP="00741075">
            <w:pPr>
              <w:pStyle w:val="ListParagraph"/>
              <w:ind w:left="0"/>
              <w:jc w:val="center"/>
              <w:rPr>
                <w:rFonts w:cs="Calibri"/>
              </w:rPr>
            </w:pPr>
            <w:proofErr w:type="spellStart"/>
            <w:r w:rsidRPr="00D551C2">
              <w:rPr>
                <w:rFonts w:cs="Calibri"/>
              </w:rPr>
              <w:t>Josselyns</w:t>
            </w:r>
            <w:proofErr w:type="spellEnd"/>
            <w:r w:rsidRPr="00D551C2">
              <w:rPr>
                <w:rFonts w:cs="Calibri"/>
              </w:rPr>
              <w:t xml:space="preserve"> or </w:t>
            </w:r>
            <w:proofErr w:type="spellStart"/>
            <w:r w:rsidRPr="00D551C2">
              <w:rPr>
                <w:rFonts w:cs="Calibri"/>
              </w:rPr>
              <w:t>Thurmans</w:t>
            </w:r>
            <w:proofErr w:type="spellEnd"/>
            <w:r w:rsidRPr="00D551C2">
              <w:rPr>
                <w:rFonts w:cs="Calibri"/>
              </w:rPr>
              <w:t xml:space="preserve"> Lane</w:t>
            </w:r>
          </w:p>
        </w:tc>
        <w:tc>
          <w:tcPr>
            <w:tcW w:w="2586" w:type="dxa"/>
          </w:tcPr>
          <w:p w14:paraId="654E1B96" w14:textId="77777777" w:rsidR="001C308F" w:rsidRPr="00D551C2" w:rsidRDefault="001C308F" w:rsidP="00741075">
            <w:pPr>
              <w:pStyle w:val="ListParagraph"/>
              <w:ind w:left="0"/>
              <w:jc w:val="center"/>
              <w:rPr>
                <w:rFonts w:cs="Calibri"/>
              </w:rPr>
            </w:pPr>
            <w:r w:rsidRPr="00D551C2">
              <w:rPr>
                <w:rFonts w:cs="Calibri"/>
              </w:rPr>
              <w:t>41</w:t>
            </w:r>
          </w:p>
        </w:tc>
      </w:tr>
      <w:tr w:rsidR="001C308F" w:rsidRPr="00D551C2" w14:paraId="2CC9BFDC" w14:textId="77777777" w:rsidTr="00741075">
        <w:trPr>
          <w:trHeight w:val="569"/>
        </w:trPr>
        <w:tc>
          <w:tcPr>
            <w:tcW w:w="3001" w:type="dxa"/>
          </w:tcPr>
          <w:p w14:paraId="117AC518" w14:textId="77777777" w:rsidR="001C308F" w:rsidRPr="00D551C2" w:rsidRDefault="001C308F" w:rsidP="00741075">
            <w:pPr>
              <w:pStyle w:val="ListParagraph"/>
              <w:ind w:left="0"/>
              <w:jc w:val="center"/>
              <w:rPr>
                <w:rFonts w:cs="Calibri"/>
              </w:rPr>
            </w:pPr>
            <w:r w:rsidRPr="00D551C2">
              <w:rPr>
                <w:rFonts w:cs="Calibri"/>
              </w:rPr>
              <w:t>Martlesham</w:t>
            </w:r>
          </w:p>
        </w:tc>
        <w:tc>
          <w:tcPr>
            <w:tcW w:w="2935" w:type="dxa"/>
          </w:tcPr>
          <w:p w14:paraId="2DE7DE2C" w14:textId="77777777" w:rsidR="001C308F" w:rsidRPr="00D551C2" w:rsidRDefault="001C308F" w:rsidP="00741075">
            <w:pPr>
              <w:pStyle w:val="ListParagraph"/>
              <w:ind w:left="0"/>
              <w:jc w:val="center"/>
              <w:rPr>
                <w:rFonts w:cs="Calibri"/>
              </w:rPr>
            </w:pPr>
            <w:r w:rsidRPr="00D551C2">
              <w:rPr>
                <w:rFonts w:cs="Calibri"/>
              </w:rPr>
              <w:t>Brightwell Lakes</w:t>
            </w:r>
          </w:p>
        </w:tc>
        <w:tc>
          <w:tcPr>
            <w:tcW w:w="2586" w:type="dxa"/>
          </w:tcPr>
          <w:p w14:paraId="334302A8" w14:textId="77777777" w:rsidR="001C308F" w:rsidRPr="00D551C2" w:rsidRDefault="001C308F" w:rsidP="00741075">
            <w:pPr>
              <w:pStyle w:val="ListParagraph"/>
              <w:ind w:left="0"/>
              <w:jc w:val="center"/>
              <w:rPr>
                <w:rFonts w:cs="Calibri"/>
              </w:rPr>
            </w:pPr>
            <w:r w:rsidRPr="00D551C2">
              <w:rPr>
                <w:rFonts w:cs="Calibri"/>
              </w:rPr>
              <w:t>2,000</w:t>
            </w:r>
          </w:p>
        </w:tc>
      </w:tr>
      <w:tr w:rsidR="001C308F" w:rsidRPr="00D551C2" w14:paraId="7787B256" w14:textId="77777777" w:rsidTr="00741075">
        <w:trPr>
          <w:trHeight w:val="569"/>
        </w:trPr>
        <w:tc>
          <w:tcPr>
            <w:tcW w:w="3001" w:type="dxa"/>
          </w:tcPr>
          <w:p w14:paraId="52D22E6E" w14:textId="77777777" w:rsidR="001C308F" w:rsidRPr="00D551C2" w:rsidRDefault="001C308F" w:rsidP="00741075">
            <w:pPr>
              <w:pStyle w:val="ListParagraph"/>
              <w:ind w:left="0"/>
              <w:jc w:val="center"/>
              <w:rPr>
                <w:rFonts w:cs="Calibri"/>
              </w:rPr>
            </w:pPr>
            <w:proofErr w:type="spellStart"/>
            <w:r>
              <w:rPr>
                <w:rFonts w:cs="Calibri"/>
              </w:rPr>
              <w:t>Bucklesham</w:t>
            </w:r>
            <w:proofErr w:type="spellEnd"/>
            <w:r>
              <w:rPr>
                <w:rFonts w:cs="Calibri"/>
              </w:rPr>
              <w:t xml:space="preserve">, Kirton &amp; </w:t>
            </w:r>
            <w:proofErr w:type="spellStart"/>
            <w:r>
              <w:rPr>
                <w:rFonts w:cs="Calibri"/>
              </w:rPr>
              <w:t>Falkenham</w:t>
            </w:r>
            <w:proofErr w:type="spellEnd"/>
            <w:r>
              <w:rPr>
                <w:rFonts w:cs="Calibri"/>
              </w:rPr>
              <w:t xml:space="preserve">, </w:t>
            </w:r>
            <w:proofErr w:type="spellStart"/>
            <w:r>
              <w:rPr>
                <w:rFonts w:cs="Calibri"/>
              </w:rPr>
              <w:t>Levington</w:t>
            </w:r>
            <w:proofErr w:type="spellEnd"/>
            <w:r>
              <w:rPr>
                <w:rFonts w:cs="Calibri"/>
              </w:rPr>
              <w:t xml:space="preserve">, </w:t>
            </w:r>
            <w:proofErr w:type="spellStart"/>
            <w:proofErr w:type="gramStart"/>
            <w:r>
              <w:rPr>
                <w:rFonts w:cs="Calibri"/>
              </w:rPr>
              <w:t>Newbourne,Waldringfield</w:t>
            </w:r>
            <w:proofErr w:type="spellEnd"/>
            <w:proofErr w:type="gramEnd"/>
          </w:p>
        </w:tc>
        <w:tc>
          <w:tcPr>
            <w:tcW w:w="2935" w:type="dxa"/>
          </w:tcPr>
          <w:p w14:paraId="644C0970" w14:textId="77777777" w:rsidR="001C308F" w:rsidRPr="00D551C2" w:rsidRDefault="001C308F" w:rsidP="00741075">
            <w:pPr>
              <w:pStyle w:val="ListParagraph"/>
              <w:ind w:left="0"/>
              <w:jc w:val="center"/>
              <w:rPr>
                <w:rFonts w:cs="Calibri"/>
              </w:rPr>
            </w:pPr>
            <w:r>
              <w:rPr>
                <w:rFonts w:cs="Calibri"/>
              </w:rPr>
              <w:t>Rest of r</w:t>
            </w:r>
          </w:p>
        </w:tc>
        <w:tc>
          <w:tcPr>
            <w:tcW w:w="2586" w:type="dxa"/>
          </w:tcPr>
          <w:p w14:paraId="5412FD2E" w14:textId="77777777" w:rsidR="001C308F" w:rsidRPr="00D551C2" w:rsidRDefault="001C308F" w:rsidP="00741075">
            <w:pPr>
              <w:pStyle w:val="ListParagraph"/>
              <w:ind w:left="0"/>
              <w:jc w:val="center"/>
              <w:rPr>
                <w:rFonts w:cs="Calibri"/>
              </w:rPr>
            </w:pPr>
            <w:r>
              <w:rPr>
                <w:rFonts w:cs="Calibri"/>
              </w:rPr>
              <w:t>17</w:t>
            </w:r>
          </w:p>
        </w:tc>
      </w:tr>
      <w:tr w:rsidR="001C308F" w:rsidRPr="00D551C2" w14:paraId="51A3CCBA" w14:textId="77777777" w:rsidTr="00741075">
        <w:trPr>
          <w:trHeight w:val="569"/>
        </w:trPr>
        <w:tc>
          <w:tcPr>
            <w:tcW w:w="3001" w:type="dxa"/>
          </w:tcPr>
          <w:p w14:paraId="2BD18B46" w14:textId="77777777" w:rsidR="001C308F" w:rsidRPr="00D551C2" w:rsidRDefault="001C308F" w:rsidP="00741075">
            <w:pPr>
              <w:pStyle w:val="ListParagraph"/>
              <w:ind w:left="0"/>
              <w:jc w:val="center"/>
              <w:rPr>
                <w:rFonts w:cs="Calibri"/>
              </w:rPr>
            </w:pPr>
            <w:r>
              <w:rPr>
                <w:rFonts w:cs="Calibri"/>
              </w:rPr>
              <w:t>Total</w:t>
            </w:r>
          </w:p>
        </w:tc>
        <w:tc>
          <w:tcPr>
            <w:tcW w:w="2935" w:type="dxa"/>
          </w:tcPr>
          <w:p w14:paraId="20D8C3FD" w14:textId="77777777" w:rsidR="001C308F" w:rsidRPr="00D551C2" w:rsidRDefault="001C308F" w:rsidP="00741075">
            <w:pPr>
              <w:pStyle w:val="ListParagraph"/>
              <w:ind w:left="0"/>
              <w:jc w:val="center"/>
              <w:rPr>
                <w:rFonts w:cs="Calibri"/>
              </w:rPr>
            </w:pPr>
          </w:p>
        </w:tc>
        <w:tc>
          <w:tcPr>
            <w:tcW w:w="2586" w:type="dxa"/>
          </w:tcPr>
          <w:p w14:paraId="36E3864B" w14:textId="77777777" w:rsidR="001C308F" w:rsidRPr="00D551C2" w:rsidRDefault="001C308F" w:rsidP="00741075">
            <w:pPr>
              <w:pStyle w:val="ListParagraph"/>
              <w:ind w:left="0"/>
              <w:jc w:val="center"/>
              <w:rPr>
                <w:rFonts w:cs="Calibri"/>
              </w:rPr>
            </w:pPr>
            <w:r>
              <w:rPr>
                <w:rFonts w:cs="Calibri"/>
              </w:rPr>
              <w:t>4,375 – 62.5%</w:t>
            </w:r>
          </w:p>
        </w:tc>
      </w:tr>
      <w:tr w:rsidR="001C308F" w:rsidRPr="00D551C2" w14:paraId="0D29DF4D" w14:textId="77777777" w:rsidTr="00741075">
        <w:trPr>
          <w:trHeight w:val="569"/>
        </w:trPr>
        <w:tc>
          <w:tcPr>
            <w:tcW w:w="3001" w:type="dxa"/>
          </w:tcPr>
          <w:p w14:paraId="13F1E17A" w14:textId="77777777" w:rsidR="001C308F" w:rsidRPr="00D551C2" w:rsidRDefault="001C308F" w:rsidP="00741075">
            <w:pPr>
              <w:pStyle w:val="ListParagraph"/>
              <w:ind w:left="0"/>
              <w:jc w:val="center"/>
              <w:rPr>
                <w:rFonts w:cs="Calibri"/>
              </w:rPr>
            </w:pPr>
            <w:r>
              <w:rPr>
                <w:rFonts w:cs="Calibri"/>
              </w:rPr>
              <w:t>Rest of SCDC District</w:t>
            </w:r>
          </w:p>
        </w:tc>
        <w:tc>
          <w:tcPr>
            <w:tcW w:w="2935" w:type="dxa"/>
          </w:tcPr>
          <w:p w14:paraId="4163B9FF" w14:textId="77777777" w:rsidR="001C308F" w:rsidRPr="00D551C2" w:rsidRDefault="001C308F" w:rsidP="00741075">
            <w:pPr>
              <w:pStyle w:val="ListParagraph"/>
              <w:ind w:left="0"/>
              <w:jc w:val="center"/>
              <w:rPr>
                <w:rFonts w:cs="Calibri"/>
              </w:rPr>
            </w:pPr>
          </w:p>
        </w:tc>
        <w:tc>
          <w:tcPr>
            <w:tcW w:w="2586" w:type="dxa"/>
          </w:tcPr>
          <w:p w14:paraId="29E339B7" w14:textId="77777777" w:rsidR="001C308F" w:rsidRPr="00D551C2" w:rsidRDefault="001C308F" w:rsidP="00741075">
            <w:pPr>
              <w:pStyle w:val="ListParagraph"/>
              <w:ind w:left="0"/>
              <w:jc w:val="center"/>
              <w:rPr>
                <w:rFonts w:cs="Calibri"/>
              </w:rPr>
            </w:pPr>
            <w:r>
              <w:rPr>
                <w:rFonts w:cs="Calibri"/>
              </w:rPr>
              <w:t>2,623 – 37.5%</w:t>
            </w:r>
          </w:p>
        </w:tc>
      </w:tr>
    </w:tbl>
    <w:p w14:paraId="2BA5B726" w14:textId="77777777" w:rsidR="001C308F" w:rsidRPr="00F5195E" w:rsidRDefault="001C308F" w:rsidP="001C308F">
      <w:pPr>
        <w:contextualSpacing/>
        <w:jc w:val="both"/>
        <w:rPr>
          <w:rFonts w:cs="Calibri"/>
        </w:rPr>
      </w:pPr>
    </w:p>
    <w:p w14:paraId="0F70085F" w14:textId="77777777" w:rsidR="001C308F" w:rsidRPr="0004754D" w:rsidRDefault="001C308F" w:rsidP="001C308F">
      <w:pPr>
        <w:ind w:left="720"/>
        <w:contextualSpacing/>
        <w:jc w:val="both"/>
        <w:rPr>
          <w:rFonts w:cs="Calibri"/>
        </w:rPr>
      </w:pPr>
    </w:p>
    <w:p w14:paraId="57FDD6A3" w14:textId="3EDFC8AE" w:rsidR="001C308F" w:rsidRDefault="001C308F" w:rsidP="00627BA1">
      <w:pPr>
        <w:numPr>
          <w:ilvl w:val="0"/>
          <w:numId w:val="1"/>
        </w:numPr>
        <w:contextualSpacing/>
        <w:jc w:val="both"/>
        <w:rPr>
          <w:rFonts w:cs="Calibri"/>
        </w:rPr>
      </w:pPr>
      <w:r w:rsidRPr="0004754D">
        <w:rPr>
          <w:rFonts w:cs="Calibri"/>
        </w:rPr>
        <w:t xml:space="preserve">The situation for Trimley St Martin </w:t>
      </w:r>
      <w:r w:rsidR="009E18B7">
        <w:rPr>
          <w:rFonts w:cs="Calibri"/>
        </w:rPr>
        <w:t xml:space="preserve">becomes worse </w:t>
      </w:r>
      <w:r w:rsidR="0002337C">
        <w:rPr>
          <w:rFonts w:cs="Calibri"/>
        </w:rPr>
        <w:t>if</w:t>
      </w:r>
      <w:r w:rsidR="00B06355">
        <w:rPr>
          <w:rFonts w:cs="Calibri"/>
        </w:rPr>
        <w:t xml:space="preserve"> </w:t>
      </w:r>
      <w:r w:rsidR="009E18B7">
        <w:rPr>
          <w:rFonts w:cs="Calibri"/>
        </w:rPr>
        <w:t xml:space="preserve">consideration </w:t>
      </w:r>
      <w:r w:rsidR="0002337C">
        <w:rPr>
          <w:rFonts w:cs="Calibri"/>
        </w:rPr>
        <w:t>is</w:t>
      </w:r>
      <w:r w:rsidRPr="0004754D">
        <w:rPr>
          <w:rFonts w:cs="Calibri"/>
        </w:rPr>
        <w:t xml:space="preserve"> given to</w:t>
      </w:r>
      <w:r>
        <w:rPr>
          <w:rFonts w:cs="Calibri"/>
        </w:rPr>
        <w:t xml:space="preserve"> </w:t>
      </w:r>
      <w:r w:rsidRPr="0004754D">
        <w:rPr>
          <w:rFonts w:cs="Calibri"/>
        </w:rPr>
        <w:t xml:space="preserve">future </w:t>
      </w:r>
      <w:r w:rsidR="00502BB9">
        <w:rPr>
          <w:rFonts w:cs="Calibri"/>
        </w:rPr>
        <w:t xml:space="preserve">allocation of </w:t>
      </w:r>
      <w:r w:rsidRPr="0004754D">
        <w:rPr>
          <w:rFonts w:cs="Calibri"/>
        </w:rPr>
        <w:t xml:space="preserve">‘potential sites’ (417 dwellings) </w:t>
      </w:r>
      <w:r>
        <w:rPr>
          <w:rFonts w:cs="Calibri"/>
        </w:rPr>
        <w:t xml:space="preserve">in the area </w:t>
      </w:r>
      <w:r w:rsidRPr="0004754D">
        <w:rPr>
          <w:rFonts w:cs="Calibri"/>
        </w:rPr>
        <w:t xml:space="preserve">which, for the time being at least, have been discounted in favour of SCLP 12.66. </w:t>
      </w:r>
    </w:p>
    <w:p w14:paraId="402018E9" w14:textId="77777777" w:rsidR="001C308F" w:rsidRPr="0004754D" w:rsidRDefault="001C308F" w:rsidP="001C308F">
      <w:pPr>
        <w:contextualSpacing/>
        <w:jc w:val="both"/>
        <w:rPr>
          <w:rFonts w:cs="Calibri"/>
        </w:rPr>
      </w:pPr>
    </w:p>
    <w:p w14:paraId="2A68797D" w14:textId="416389C0" w:rsidR="001C308F" w:rsidRDefault="001C308F" w:rsidP="00627BA1">
      <w:pPr>
        <w:numPr>
          <w:ilvl w:val="0"/>
          <w:numId w:val="1"/>
        </w:numPr>
        <w:contextualSpacing/>
        <w:jc w:val="both"/>
        <w:rPr>
          <w:rFonts w:cs="Calibri"/>
        </w:rPr>
      </w:pPr>
      <w:r>
        <w:rPr>
          <w:rFonts w:cs="Calibri"/>
        </w:rPr>
        <w:lastRenderedPageBreak/>
        <w:t xml:space="preserve">The Plan – Table 3.5 para 3.49 describes housing growth on the </w:t>
      </w:r>
      <w:r w:rsidR="009E18B7">
        <w:rPr>
          <w:rFonts w:cs="Calibri"/>
        </w:rPr>
        <w:t>peninsula</w:t>
      </w:r>
      <w:r>
        <w:rPr>
          <w:rFonts w:cs="Calibri"/>
        </w:rPr>
        <w:t xml:space="preserve"> between 31.03.2018 – 2036</w:t>
      </w:r>
      <w:r w:rsidR="00A745DE">
        <w:rPr>
          <w:rFonts w:cs="Calibri"/>
        </w:rPr>
        <w:t>,</w:t>
      </w:r>
      <w:r>
        <w:rPr>
          <w:rFonts w:cs="Calibri"/>
        </w:rPr>
        <w:t xml:space="preserve"> which arises from the cumulative indicative contribution 2018-2036</w:t>
      </w:r>
      <w:r w:rsidR="002829D9">
        <w:rPr>
          <w:rFonts w:cs="Calibri"/>
        </w:rPr>
        <w:t>.The published table has been adapted to reflect</w:t>
      </w:r>
      <w:r w:rsidR="00C952B0">
        <w:rPr>
          <w:rFonts w:cs="Calibri"/>
        </w:rPr>
        <w:t xml:space="preserve"> </w:t>
      </w:r>
      <w:r>
        <w:rPr>
          <w:rFonts w:cs="Calibri"/>
        </w:rPr>
        <w:t xml:space="preserve">the contribution from the </w:t>
      </w:r>
      <w:r w:rsidR="009E18B7">
        <w:rPr>
          <w:rFonts w:cs="Calibri"/>
        </w:rPr>
        <w:t>peninsula</w:t>
      </w:r>
      <w:r>
        <w:rPr>
          <w:rFonts w:cs="Calibri"/>
        </w:rPr>
        <w:t>.</w:t>
      </w:r>
    </w:p>
    <w:p w14:paraId="050977E5" w14:textId="77777777" w:rsidR="001C308F" w:rsidRDefault="001C308F" w:rsidP="001C308F">
      <w:pPr>
        <w:pStyle w:val="ListParagraph"/>
        <w:rPr>
          <w:rFonts w:cs="Calibr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482"/>
        <w:gridCol w:w="1377"/>
        <w:gridCol w:w="1201"/>
        <w:gridCol w:w="1353"/>
        <w:gridCol w:w="1092"/>
      </w:tblGrid>
      <w:tr w:rsidR="001C308F" w:rsidRPr="00C70F2A" w14:paraId="5CB3BFC1" w14:textId="77777777" w:rsidTr="00741075">
        <w:tc>
          <w:tcPr>
            <w:tcW w:w="1889" w:type="dxa"/>
          </w:tcPr>
          <w:p w14:paraId="57494A9B" w14:textId="77777777" w:rsidR="001C308F" w:rsidRPr="00D634A2" w:rsidRDefault="001C308F" w:rsidP="00741075">
            <w:pPr>
              <w:pStyle w:val="ListParagraph"/>
              <w:ind w:left="0"/>
              <w:jc w:val="center"/>
              <w:rPr>
                <w:rFonts w:cs="Calibri"/>
                <w:color w:val="4F81BD"/>
              </w:rPr>
            </w:pPr>
            <w:r>
              <w:rPr>
                <w:rFonts w:cs="Calibri"/>
                <w:color w:val="4F81BD"/>
              </w:rPr>
              <w:t>District</w:t>
            </w:r>
          </w:p>
        </w:tc>
        <w:tc>
          <w:tcPr>
            <w:tcW w:w="1534" w:type="dxa"/>
          </w:tcPr>
          <w:p w14:paraId="31C001EA" w14:textId="77777777" w:rsidR="001C308F" w:rsidRDefault="001C308F" w:rsidP="00741075">
            <w:pPr>
              <w:pStyle w:val="ListParagraph"/>
              <w:ind w:left="0"/>
              <w:jc w:val="center"/>
              <w:rPr>
                <w:rFonts w:cs="Calibri"/>
                <w:color w:val="4F81BD"/>
              </w:rPr>
            </w:pPr>
            <w:r>
              <w:rPr>
                <w:rFonts w:cs="Calibri"/>
                <w:color w:val="4F81BD"/>
              </w:rPr>
              <w:t>A</w:t>
            </w:r>
          </w:p>
          <w:p w14:paraId="2E162D2C" w14:textId="77777777" w:rsidR="001C308F" w:rsidRPr="009C400A" w:rsidRDefault="001C308F" w:rsidP="00741075">
            <w:pPr>
              <w:pStyle w:val="ListParagraph"/>
              <w:ind w:left="0"/>
              <w:jc w:val="center"/>
              <w:rPr>
                <w:rFonts w:cs="Calibri"/>
                <w:color w:val="4F81BD"/>
              </w:rPr>
            </w:pPr>
            <w:r w:rsidRPr="009C400A">
              <w:rPr>
                <w:rFonts w:cs="Calibri"/>
                <w:color w:val="4F81BD"/>
              </w:rPr>
              <w:t>Permis</w:t>
            </w:r>
            <w:r>
              <w:rPr>
                <w:rFonts w:cs="Calibri"/>
                <w:color w:val="4F81BD"/>
              </w:rPr>
              <w:t>s</w:t>
            </w:r>
            <w:r w:rsidRPr="009C400A">
              <w:rPr>
                <w:rFonts w:cs="Calibri"/>
                <w:color w:val="4F81BD"/>
              </w:rPr>
              <w:t>ions &amp; Resolution to grant permission as at March 2018</w:t>
            </w:r>
          </w:p>
        </w:tc>
        <w:tc>
          <w:tcPr>
            <w:tcW w:w="1401" w:type="dxa"/>
          </w:tcPr>
          <w:p w14:paraId="23CFCF8C" w14:textId="77777777" w:rsidR="001C308F" w:rsidRDefault="001C308F" w:rsidP="00741075">
            <w:pPr>
              <w:pStyle w:val="ListParagraph"/>
              <w:ind w:left="0"/>
              <w:jc w:val="center"/>
              <w:rPr>
                <w:rFonts w:cs="Calibri"/>
                <w:color w:val="4F81BD"/>
              </w:rPr>
            </w:pPr>
            <w:r>
              <w:rPr>
                <w:rFonts w:cs="Calibri"/>
                <w:color w:val="4F81BD"/>
              </w:rPr>
              <w:t>B</w:t>
            </w:r>
          </w:p>
          <w:p w14:paraId="7659EA2C" w14:textId="77777777" w:rsidR="001C308F" w:rsidRPr="00C70F2A" w:rsidRDefault="001C308F" w:rsidP="00741075">
            <w:pPr>
              <w:pStyle w:val="ListParagraph"/>
              <w:ind w:left="0"/>
              <w:jc w:val="center"/>
              <w:rPr>
                <w:rFonts w:cs="Calibri"/>
                <w:color w:val="4F81BD"/>
              </w:rPr>
            </w:pPr>
            <w:r w:rsidRPr="00C70F2A">
              <w:rPr>
                <w:rFonts w:cs="Calibri"/>
                <w:color w:val="4F81BD"/>
              </w:rPr>
              <w:t>Existing Allocations without permissions as at March 2018</w:t>
            </w:r>
          </w:p>
        </w:tc>
        <w:tc>
          <w:tcPr>
            <w:tcW w:w="1201" w:type="dxa"/>
          </w:tcPr>
          <w:p w14:paraId="7279A2A7" w14:textId="77777777" w:rsidR="001C308F" w:rsidRDefault="001C308F" w:rsidP="00741075">
            <w:pPr>
              <w:pStyle w:val="ListParagraph"/>
              <w:ind w:left="0"/>
              <w:jc w:val="center"/>
              <w:rPr>
                <w:rFonts w:cs="Calibri"/>
                <w:color w:val="4F81BD"/>
              </w:rPr>
            </w:pPr>
            <w:r>
              <w:rPr>
                <w:rFonts w:cs="Calibri"/>
                <w:color w:val="4F81BD"/>
              </w:rPr>
              <w:t>C</w:t>
            </w:r>
          </w:p>
          <w:p w14:paraId="3F61C67F" w14:textId="77777777" w:rsidR="001C308F" w:rsidRPr="00C70F2A" w:rsidRDefault="001C308F" w:rsidP="00741075">
            <w:pPr>
              <w:pStyle w:val="ListParagraph"/>
              <w:ind w:left="0"/>
              <w:jc w:val="center"/>
              <w:rPr>
                <w:rFonts w:cs="Calibri"/>
                <w:color w:val="4F81BD"/>
              </w:rPr>
            </w:pPr>
            <w:r w:rsidRPr="00C70F2A">
              <w:rPr>
                <w:rFonts w:cs="Calibri"/>
                <w:color w:val="4F81BD"/>
              </w:rPr>
              <w:t>New Housing Allocations</w:t>
            </w:r>
          </w:p>
        </w:tc>
        <w:tc>
          <w:tcPr>
            <w:tcW w:w="1353" w:type="dxa"/>
          </w:tcPr>
          <w:p w14:paraId="2508CA48" w14:textId="77777777" w:rsidR="001C308F" w:rsidRDefault="001C308F" w:rsidP="00741075">
            <w:pPr>
              <w:pStyle w:val="ListParagraph"/>
              <w:ind w:left="0"/>
              <w:jc w:val="center"/>
              <w:rPr>
                <w:rFonts w:cs="Calibri"/>
                <w:color w:val="4F81BD"/>
              </w:rPr>
            </w:pPr>
            <w:r>
              <w:rPr>
                <w:rFonts w:cs="Calibri"/>
                <w:color w:val="4F81BD"/>
              </w:rPr>
              <w:t>D</w:t>
            </w:r>
          </w:p>
          <w:p w14:paraId="5D450552" w14:textId="77777777" w:rsidR="001C308F" w:rsidRDefault="00314F49" w:rsidP="00741075">
            <w:pPr>
              <w:pStyle w:val="ListParagraph"/>
              <w:ind w:left="0"/>
              <w:jc w:val="center"/>
              <w:rPr>
                <w:rFonts w:cs="Calibri"/>
                <w:color w:val="4F81BD"/>
              </w:rPr>
            </w:pPr>
            <w:proofErr w:type="gramStart"/>
            <w:r>
              <w:rPr>
                <w:rFonts w:cs="Calibri"/>
                <w:color w:val="4F81BD"/>
              </w:rPr>
              <w:t>Cu</w:t>
            </w:r>
            <w:r w:rsidR="001C308F" w:rsidRPr="00C70F2A">
              <w:rPr>
                <w:rFonts w:cs="Calibri"/>
                <w:color w:val="4F81BD"/>
              </w:rPr>
              <w:t>mulative  Indicative</w:t>
            </w:r>
            <w:proofErr w:type="gramEnd"/>
            <w:r w:rsidR="001C308F" w:rsidRPr="00C70F2A">
              <w:rPr>
                <w:rFonts w:cs="Calibri"/>
                <w:color w:val="4F81BD"/>
              </w:rPr>
              <w:t xml:space="preserve"> Contribution 2018 </w:t>
            </w:r>
            <w:r w:rsidR="001C308F">
              <w:rPr>
                <w:rFonts w:cs="Calibri"/>
                <w:color w:val="4F81BD"/>
              </w:rPr>
              <w:t>–</w:t>
            </w:r>
            <w:r w:rsidR="001C308F" w:rsidRPr="00C70F2A">
              <w:rPr>
                <w:rFonts w:cs="Calibri"/>
                <w:color w:val="4F81BD"/>
              </w:rPr>
              <w:t xml:space="preserve"> 2036</w:t>
            </w:r>
          </w:p>
          <w:p w14:paraId="3BE9FA79" w14:textId="77777777" w:rsidR="001C308F" w:rsidRPr="00C70F2A" w:rsidRDefault="001C308F" w:rsidP="00741075">
            <w:pPr>
              <w:pStyle w:val="ListParagraph"/>
              <w:ind w:left="0"/>
              <w:jc w:val="center"/>
              <w:rPr>
                <w:rFonts w:cs="Calibri"/>
                <w:color w:val="4F81BD"/>
              </w:rPr>
            </w:pPr>
            <w:r>
              <w:rPr>
                <w:rFonts w:cs="Calibri"/>
                <w:color w:val="4F81BD"/>
              </w:rPr>
              <w:t>A + B + C</w:t>
            </w:r>
          </w:p>
        </w:tc>
        <w:tc>
          <w:tcPr>
            <w:tcW w:w="1144" w:type="dxa"/>
          </w:tcPr>
          <w:p w14:paraId="1A3ACC13" w14:textId="77777777" w:rsidR="001C308F" w:rsidRPr="00C70F2A" w:rsidRDefault="001C308F" w:rsidP="00741075">
            <w:pPr>
              <w:pStyle w:val="ListParagraph"/>
              <w:ind w:left="0"/>
              <w:jc w:val="center"/>
              <w:rPr>
                <w:rFonts w:cs="Calibri"/>
                <w:color w:val="4F81BD"/>
              </w:rPr>
            </w:pPr>
            <w:r w:rsidRPr="00C70F2A">
              <w:rPr>
                <w:rFonts w:cs="Calibri"/>
                <w:color w:val="4F81BD"/>
              </w:rPr>
              <w:t>% Growth</w:t>
            </w:r>
          </w:p>
        </w:tc>
      </w:tr>
      <w:tr w:rsidR="001C308F" w:rsidRPr="0077476F" w14:paraId="20DE9221" w14:textId="77777777" w:rsidTr="00741075">
        <w:tc>
          <w:tcPr>
            <w:tcW w:w="1889" w:type="dxa"/>
          </w:tcPr>
          <w:p w14:paraId="76D03A8F" w14:textId="77777777" w:rsidR="001C308F" w:rsidRPr="0077476F" w:rsidRDefault="001C308F" w:rsidP="00741075">
            <w:pPr>
              <w:pStyle w:val="ListParagraph"/>
              <w:ind w:left="0"/>
              <w:rPr>
                <w:rFonts w:cs="Calibri"/>
              </w:rPr>
            </w:pPr>
            <w:r w:rsidRPr="0077476F">
              <w:rPr>
                <w:rFonts w:cs="Calibri"/>
              </w:rPr>
              <w:t>Felixstowe</w:t>
            </w:r>
          </w:p>
        </w:tc>
        <w:tc>
          <w:tcPr>
            <w:tcW w:w="1534" w:type="dxa"/>
          </w:tcPr>
          <w:p w14:paraId="2D636BEC" w14:textId="77777777" w:rsidR="001C308F" w:rsidRPr="0077476F" w:rsidRDefault="001C308F" w:rsidP="00741075">
            <w:pPr>
              <w:pStyle w:val="ListParagraph"/>
              <w:ind w:left="0"/>
              <w:jc w:val="center"/>
              <w:rPr>
                <w:rFonts w:cs="Calibri"/>
              </w:rPr>
            </w:pPr>
            <w:r>
              <w:rPr>
                <w:rFonts w:cs="Calibri"/>
              </w:rPr>
              <w:t>1,523</w:t>
            </w:r>
          </w:p>
        </w:tc>
        <w:tc>
          <w:tcPr>
            <w:tcW w:w="1401" w:type="dxa"/>
          </w:tcPr>
          <w:p w14:paraId="5A300CD5" w14:textId="77777777" w:rsidR="001C308F" w:rsidRPr="0077476F" w:rsidRDefault="001C308F" w:rsidP="00741075">
            <w:pPr>
              <w:pStyle w:val="ListParagraph"/>
              <w:ind w:left="0"/>
              <w:jc w:val="center"/>
              <w:rPr>
                <w:rFonts w:cs="Calibri"/>
              </w:rPr>
            </w:pPr>
            <w:r>
              <w:rPr>
                <w:rFonts w:cs="Calibri"/>
              </w:rPr>
              <w:t>209</w:t>
            </w:r>
          </w:p>
        </w:tc>
        <w:tc>
          <w:tcPr>
            <w:tcW w:w="1201" w:type="dxa"/>
          </w:tcPr>
          <w:p w14:paraId="006927E4" w14:textId="77777777" w:rsidR="001C308F" w:rsidRPr="0077476F" w:rsidRDefault="001C308F" w:rsidP="00741075">
            <w:pPr>
              <w:pStyle w:val="ListParagraph"/>
              <w:ind w:left="0"/>
              <w:jc w:val="center"/>
              <w:rPr>
                <w:rFonts w:cs="Calibri"/>
              </w:rPr>
            </w:pPr>
            <w:r>
              <w:rPr>
                <w:rFonts w:cs="Calibri"/>
              </w:rPr>
              <w:t>1,520</w:t>
            </w:r>
          </w:p>
        </w:tc>
        <w:tc>
          <w:tcPr>
            <w:tcW w:w="1353" w:type="dxa"/>
          </w:tcPr>
          <w:p w14:paraId="5D2C0781" w14:textId="77777777" w:rsidR="001C308F" w:rsidRPr="0077476F" w:rsidRDefault="001C308F" w:rsidP="00741075">
            <w:pPr>
              <w:pStyle w:val="ListParagraph"/>
              <w:ind w:left="0"/>
              <w:jc w:val="center"/>
              <w:rPr>
                <w:rFonts w:cs="Calibri"/>
              </w:rPr>
            </w:pPr>
            <w:r>
              <w:rPr>
                <w:rFonts w:cs="Calibri"/>
              </w:rPr>
              <w:t>3,252</w:t>
            </w:r>
          </w:p>
        </w:tc>
        <w:tc>
          <w:tcPr>
            <w:tcW w:w="1144" w:type="dxa"/>
          </w:tcPr>
          <w:p w14:paraId="7D28CA1C" w14:textId="77777777" w:rsidR="001C308F" w:rsidRPr="0077476F" w:rsidRDefault="00314F49" w:rsidP="00741075">
            <w:pPr>
              <w:pStyle w:val="ListParagraph"/>
              <w:ind w:left="0"/>
              <w:jc w:val="center"/>
              <w:rPr>
                <w:rFonts w:cs="Calibri"/>
              </w:rPr>
            </w:pPr>
            <w:r>
              <w:rPr>
                <w:rFonts w:cs="Calibri"/>
              </w:rPr>
              <w:t>29</w:t>
            </w:r>
            <w:r w:rsidR="00C952B0">
              <w:rPr>
                <w:rFonts w:cs="Calibri"/>
              </w:rPr>
              <w:t>%</w:t>
            </w:r>
          </w:p>
        </w:tc>
      </w:tr>
      <w:tr w:rsidR="001C308F" w:rsidRPr="0077476F" w14:paraId="7B3D559C" w14:textId="77777777" w:rsidTr="00741075">
        <w:tc>
          <w:tcPr>
            <w:tcW w:w="1889" w:type="dxa"/>
          </w:tcPr>
          <w:p w14:paraId="1598BC81" w14:textId="77777777" w:rsidR="001C308F" w:rsidRPr="0077476F" w:rsidRDefault="001C308F" w:rsidP="00741075">
            <w:pPr>
              <w:pStyle w:val="ListParagraph"/>
              <w:ind w:left="0"/>
              <w:rPr>
                <w:rFonts w:cs="Calibri"/>
              </w:rPr>
            </w:pPr>
            <w:r w:rsidRPr="0077476F">
              <w:rPr>
                <w:rFonts w:cs="Calibri"/>
              </w:rPr>
              <w:t>Trimley St Martin &amp; Trimley St Mary</w:t>
            </w:r>
          </w:p>
        </w:tc>
        <w:tc>
          <w:tcPr>
            <w:tcW w:w="1534" w:type="dxa"/>
          </w:tcPr>
          <w:p w14:paraId="1F846367" w14:textId="77777777" w:rsidR="001C308F" w:rsidRPr="0077476F" w:rsidRDefault="001C308F" w:rsidP="00741075">
            <w:pPr>
              <w:pStyle w:val="ListParagraph"/>
              <w:ind w:left="0"/>
              <w:jc w:val="center"/>
              <w:rPr>
                <w:rFonts w:cs="Calibri"/>
              </w:rPr>
            </w:pPr>
            <w:r>
              <w:rPr>
                <w:rFonts w:cs="Calibri"/>
              </w:rPr>
              <w:t>266</w:t>
            </w:r>
          </w:p>
        </w:tc>
        <w:tc>
          <w:tcPr>
            <w:tcW w:w="1401" w:type="dxa"/>
          </w:tcPr>
          <w:p w14:paraId="34E62549" w14:textId="77777777" w:rsidR="001C308F" w:rsidRPr="0077476F" w:rsidRDefault="001C308F" w:rsidP="00741075">
            <w:pPr>
              <w:pStyle w:val="ListParagraph"/>
              <w:ind w:left="0"/>
              <w:jc w:val="center"/>
              <w:rPr>
                <w:rFonts w:cs="Calibri"/>
              </w:rPr>
            </w:pPr>
            <w:r>
              <w:rPr>
                <w:rFonts w:cs="Calibri"/>
              </w:rPr>
              <w:t>360</w:t>
            </w:r>
          </w:p>
        </w:tc>
        <w:tc>
          <w:tcPr>
            <w:tcW w:w="1201" w:type="dxa"/>
          </w:tcPr>
          <w:p w14:paraId="7C312434" w14:textId="77777777" w:rsidR="001C308F" w:rsidRPr="0077476F" w:rsidRDefault="001C308F" w:rsidP="00741075">
            <w:pPr>
              <w:pStyle w:val="ListParagraph"/>
              <w:ind w:left="0"/>
              <w:jc w:val="center"/>
              <w:rPr>
                <w:rFonts w:cs="Calibri"/>
              </w:rPr>
            </w:pPr>
            <w:r>
              <w:rPr>
                <w:rFonts w:cs="Calibri"/>
              </w:rPr>
              <w:t>150</w:t>
            </w:r>
          </w:p>
        </w:tc>
        <w:tc>
          <w:tcPr>
            <w:tcW w:w="1353" w:type="dxa"/>
          </w:tcPr>
          <w:p w14:paraId="0446D20F" w14:textId="77777777" w:rsidR="001C308F" w:rsidRPr="0077476F" w:rsidRDefault="001C308F" w:rsidP="00741075">
            <w:pPr>
              <w:pStyle w:val="ListParagraph"/>
              <w:ind w:left="0"/>
              <w:jc w:val="center"/>
              <w:rPr>
                <w:rFonts w:cs="Calibri"/>
              </w:rPr>
            </w:pPr>
            <w:r>
              <w:rPr>
                <w:rFonts w:cs="Calibri"/>
              </w:rPr>
              <w:t>776</w:t>
            </w:r>
          </w:p>
        </w:tc>
        <w:tc>
          <w:tcPr>
            <w:tcW w:w="1144" w:type="dxa"/>
          </w:tcPr>
          <w:p w14:paraId="2BF543F8" w14:textId="77777777" w:rsidR="001C308F" w:rsidRPr="0077476F" w:rsidRDefault="00314F49" w:rsidP="00741075">
            <w:pPr>
              <w:pStyle w:val="ListParagraph"/>
              <w:ind w:left="0"/>
              <w:jc w:val="center"/>
              <w:rPr>
                <w:rFonts w:cs="Calibri"/>
              </w:rPr>
            </w:pPr>
            <w:r>
              <w:rPr>
                <w:rFonts w:cs="Calibri"/>
              </w:rPr>
              <w:t>7</w:t>
            </w:r>
            <w:r w:rsidR="00C952B0">
              <w:rPr>
                <w:rFonts w:cs="Calibri"/>
              </w:rPr>
              <w:t>%</w:t>
            </w:r>
          </w:p>
        </w:tc>
      </w:tr>
      <w:tr w:rsidR="001C308F" w:rsidRPr="0077476F" w14:paraId="213688C0" w14:textId="77777777" w:rsidTr="00741075">
        <w:tc>
          <w:tcPr>
            <w:tcW w:w="1889" w:type="dxa"/>
          </w:tcPr>
          <w:p w14:paraId="7B0A3DAD" w14:textId="77777777" w:rsidR="001C308F" w:rsidRPr="0077476F" w:rsidRDefault="001C308F" w:rsidP="00741075">
            <w:pPr>
              <w:pStyle w:val="ListParagraph"/>
              <w:ind w:left="0"/>
              <w:rPr>
                <w:rFonts w:cs="Calibri"/>
              </w:rPr>
            </w:pPr>
            <w:r>
              <w:rPr>
                <w:rFonts w:cs="Calibri"/>
              </w:rPr>
              <w:t>Brightwell Lakes</w:t>
            </w:r>
          </w:p>
        </w:tc>
        <w:tc>
          <w:tcPr>
            <w:tcW w:w="1534" w:type="dxa"/>
          </w:tcPr>
          <w:p w14:paraId="52ED075D" w14:textId="77777777" w:rsidR="001C308F" w:rsidRDefault="001C308F" w:rsidP="00741075">
            <w:pPr>
              <w:pStyle w:val="ListParagraph"/>
              <w:ind w:left="0"/>
              <w:jc w:val="center"/>
              <w:rPr>
                <w:rFonts w:cs="Calibri"/>
              </w:rPr>
            </w:pPr>
            <w:r>
              <w:rPr>
                <w:rFonts w:cs="Calibri"/>
              </w:rPr>
              <w:t>2,000</w:t>
            </w:r>
          </w:p>
        </w:tc>
        <w:tc>
          <w:tcPr>
            <w:tcW w:w="1401" w:type="dxa"/>
          </w:tcPr>
          <w:p w14:paraId="6A405BD1" w14:textId="77777777" w:rsidR="001C308F" w:rsidRDefault="001C308F" w:rsidP="00741075">
            <w:pPr>
              <w:pStyle w:val="ListParagraph"/>
              <w:ind w:left="0"/>
              <w:jc w:val="center"/>
              <w:rPr>
                <w:rFonts w:cs="Calibri"/>
              </w:rPr>
            </w:pPr>
            <w:r>
              <w:rPr>
                <w:rFonts w:cs="Calibri"/>
              </w:rPr>
              <w:t>0</w:t>
            </w:r>
          </w:p>
        </w:tc>
        <w:tc>
          <w:tcPr>
            <w:tcW w:w="1201" w:type="dxa"/>
          </w:tcPr>
          <w:p w14:paraId="420F4362" w14:textId="77777777" w:rsidR="001C308F" w:rsidRDefault="001C308F" w:rsidP="00741075">
            <w:pPr>
              <w:pStyle w:val="ListParagraph"/>
              <w:ind w:left="0"/>
              <w:jc w:val="center"/>
              <w:rPr>
                <w:rFonts w:cs="Calibri"/>
              </w:rPr>
            </w:pPr>
            <w:r>
              <w:rPr>
                <w:rFonts w:cs="Calibri"/>
              </w:rPr>
              <w:t>0</w:t>
            </w:r>
          </w:p>
        </w:tc>
        <w:tc>
          <w:tcPr>
            <w:tcW w:w="1353" w:type="dxa"/>
          </w:tcPr>
          <w:p w14:paraId="5E98D400" w14:textId="77777777" w:rsidR="001C308F" w:rsidRDefault="001C308F" w:rsidP="00741075">
            <w:pPr>
              <w:pStyle w:val="ListParagraph"/>
              <w:ind w:left="0"/>
              <w:jc w:val="center"/>
              <w:rPr>
                <w:rFonts w:cs="Calibri"/>
              </w:rPr>
            </w:pPr>
            <w:r>
              <w:rPr>
                <w:rFonts w:cs="Calibri"/>
              </w:rPr>
              <w:t>2,000</w:t>
            </w:r>
          </w:p>
        </w:tc>
        <w:tc>
          <w:tcPr>
            <w:tcW w:w="1144" w:type="dxa"/>
          </w:tcPr>
          <w:p w14:paraId="2809F631" w14:textId="77777777" w:rsidR="001C308F" w:rsidRPr="0077476F" w:rsidRDefault="00314F49" w:rsidP="00C952B0">
            <w:pPr>
              <w:pStyle w:val="ListParagraph"/>
              <w:ind w:left="0"/>
              <w:jc w:val="center"/>
              <w:rPr>
                <w:rFonts w:cs="Calibri"/>
              </w:rPr>
            </w:pPr>
            <w:r>
              <w:rPr>
                <w:rFonts w:cs="Calibri"/>
              </w:rPr>
              <w:t>17.5</w:t>
            </w:r>
            <w:r w:rsidR="00C952B0">
              <w:rPr>
                <w:rFonts w:cs="Calibri"/>
              </w:rPr>
              <w:t>%</w:t>
            </w:r>
          </w:p>
        </w:tc>
      </w:tr>
      <w:tr w:rsidR="001C308F" w:rsidRPr="0077476F" w14:paraId="07D61919" w14:textId="77777777" w:rsidTr="00741075">
        <w:tc>
          <w:tcPr>
            <w:tcW w:w="1889" w:type="dxa"/>
          </w:tcPr>
          <w:p w14:paraId="4428E426" w14:textId="77777777" w:rsidR="001C308F" w:rsidRPr="0077476F" w:rsidRDefault="00314F49" w:rsidP="00741075">
            <w:pPr>
              <w:pStyle w:val="ListParagraph"/>
              <w:ind w:left="0"/>
              <w:rPr>
                <w:rFonts w:cs="Calibri"/>
              </w:rPr>
            </w:pPr>
            <w:r>
              <w:rPr>
                <w:rFonts w:cs="Calibri"/>
              </w:rPr>
              <w:t xml:space="preserve">Rest of </w:t>
            </w:r>
            <w:r w:rsidR="009E18B7">
              <w:rPr>
                <w:rFonts w:cs="Calibri"/>
              </w:rPr>
              <w:t>peninsula</w:t>
            </w:r>
            <w:r>
              <w:rPr>
                <w:rFonts w:cs="Calibri"/>
              </w:rPr>
              <w:t xml:space="preserve"> </w:t>
            </w:r>
            <w:proofErr w:type="gramStart"/>
            <w:r>
              <w:rPr>
                <w:rFonts w:cs="Calibri"/>
              </w:rPr>
              <w:t xml:space="preserve">– </w:t>
            </w:r>
            <w:r w:rsidR="001C308F">
              <w:rPr>
                <w:rFonts w:cs="Calibri"/>
              </w:rPr>
              <w:t xml:space="preserve"> </w:t>
            </w:r>
            <w:proofErr w:type="spellStart"/>
            <w:r w:rsidR="001C308F">
              <w:rPr>
                <w:rFonts w:cs="Calibri"/>
              </w:rPr>
              <w:t>Bucklesham</w:t>
            </w:r>
            <w:proofErr w:type="spellEnd"/>
            <w:proofErr w:type="gramEnd"/>
            <w:r w:rsidR="001C308F">
              <w:rPr>
                <w:rFonts w:cs="Calibri"/>
              </w:rPr>
              <w:t xml:space="preserve">, Kirton &amp; </w:t>
            </w:r>
            <w:proofErr w:type="spellStart"/>
            <w:r w:rsidR="001C308F">
              <w:rPr>
                <w:rFonts w:cs="Calibri"/>
              </w:rPr>
              <w:t>Falkenham</w:t>
            </w:r>
            <w:proofErr w:type="spellEnd"/>
            <w:r w:rsidR="001C308F">
              <w:rPr>
                <w:rFonts w:cs="Calibri"/>
              </w:rPr>
              <w:t xml:space="preserve">, </w:t>
            </w:r>
            <w:proofErr w:type="spellStart"/>
            <w:r w:rsidR="001C308F">
              <w:rPr>
                <w:rFonts w:cs="Calibri"/>
              </w:rPr>
              <w:t>Levington</w:t>
            </w:r>
            <w:proofErr w:type="spellEnd"/>
            <w:r w:rsidR="001C308F">
              <w:rPr>
                <w:rFonts w:cs="Calibri"/>
              </w:rPr>
              <w:t xml:space="preserve">, </w:t>
            </w:r>
            <w:proofErr w:type="spellStart"/>
            <w:r w:rsidR="001C308F">
              <w:rPr>
                <w:rFonts w:cs="Calibri"/>
              </w:rPr>
              <w:t>Newbourne</w:t>
            </w:r>
            <w:proofErr w:type="spellEnd"/>
            <w:r w:rsidR="001C308F">
              <w:rPr>
                <w:rFonts w:cs="Calibri"/>
              </w:rPr>
              <w:t xml:space="preserve"> &amp; </w:t>
            </w:r>
            <w:proofErr w:type="spellStart"/>
            <w:r w:rsidR="001C308F">
              <w:rPr>
                <w:rFonts w:cs="Calibri"/>
              </w:rPr>
              <w:t>Waldringfield</w:t>
            </w:r>
            <w:proofErr w:type="spellEnd"/>
          </w:p>
        </w:tc>
        <w:tc>
          <w:tcPr>
            <w:tcW w:w="1534" w:type="dxa"/>
          </w:tcPr>
          <w:p w14:paraId="6FC55AB2" w14:textId="77777777" w:rsidR="001C308F" w:rsidRDefault="001C308F" w:rsidP="00741075">
            <w:pPr>
              <w:pStyle w:val="ListParagraph"/>
              <w:ind w:left="0"/>
              <w:jc w:val="center"/>
              <w:rPr>
                <w:rFonts w:cs="Calibri"/>
              </w:rPr>
            </w:pPr>
            <w:r>
              <w:rPr>
                <w:rFonts w:cs="Calibri"/>
              </w:rPr>
              <w:t>83</w:t>
            </w:r>
          </w:p>
        </w:tc>
        <w:tc>
          <w:tcPr>
            <w:tcW w:w="1401" w:type="dxa"/>
          </w:tcPr>
          <w:p w14:paraId="01355727" w14:textId="77777777" w:rsidR="001C308F" w:rsidRDefault="001C308F" w:rsidP="00741075">
            <w:pPr>
              <w:pStyle w:val="ListParagraph"/>
              <w:ind w:left="0"/>
              <w:jc w:val="center"/>
              <w:rPr>
                <w:rFonts w:cs="Calibri"/>
              </w:rPr>
            </w:pPr>
            <w:r>
              <w:rPr>
                <w:rFonts w:cs="Calibri"/>
              </w:rPr>
              <w:t>0</w:t>
            </w:r>
          </w:p>
        </w:tc>
        <w:tc>
          <w:tcPr>
            <w:tcW w:w="1201" w:type="dxa"/>
          </w:tcPr>
          <w:p w14:paraId="765D29A3" w14:textId="77777777" w:rsidR="001C308F" w:rsidRDefault="001C308F" w:rsidP="00741075">
            <w:pPr>
              <w:pStyle w:val="ListParagraph"/>
              <w:ind w:left="0"/>
              <w:jc w:val="center"/>
              <w:rPr>
                <w:rFonts w:cs="Calibri"/>
              </w:rPr>
            </w:pPr>
            <w:r>
              <w:rPr>
                <w:rFonts w:cs="Calibri"/>
              </w:rPr>
              <w:t>62</w:t>
            </w:r>
          </w:p>
        </w:tc>
        <w:tc>
          <w:tcPr>
            <w:tcW w:w="1353" w:type="dxa"/>
          </w:tcPr>
          <w:p w14:paraId="6F135470" w14:textId="77777777" w:rsidR="001C308F" w:rsidRDefault="001C308F" w:rsidP="00741075">
            <w:pPr>
              <w:pStyle w:val="ListParagraph"/>
              <w:ind w:left="0"/>
              <w:jc w:val="center"/>
              <w:rPr>
                <w:rFonts w:cs="Calibri"/>
              </w:rPr>
            </w:pPr>
            <w:r>
              <w:rPr>
                <w:rFonts w:cs="Calibri"/>
              </w:rPr>
              <w:t>145</w:t>
            </w:r>
          </w:p>
        </w:tc>
        <w:tc>
          <w:tcPr>
            <w:tcW w:w="1144" w:type="dxa"/>
          </w:tcPr>
          <w:p w14:paraId="539B4C97" w14:textId="77777777" w:rsidR="001C308F" w:rsidRPr="0077476F" w:rsidRDefault="00314F49" w:rsidP="00314F49">
            <w:pPr>
              <w:pStyle w:val="ListParagraph"/>
              <w:ind w:left="0"/>
              <w:jc w:val="center"/>
              <w:rPr>
                <w:rFonts w:cs="Calibri"/>
              </w:rPr>
            </w:pPr>
            <w:r>
              <w:rPr>
                <w:rFonts w:cs="Calibri"/>
              </w:rPr>
              <w:t>1</w:t>
            </w:r>
            <w:r w:rsidR="001C308F">
              <w:rPr>
                <w:rFonts w:cs="Calibri"/>
              </w:rPr>
              <w:t>.3</w:t>
            </w:r>
            <w:r w:rsidR="00C952B0">
              <w:rPr>
                <w:rFonts w:cs="Calibri"/>
              </w:rPr>
              <w:t>%</w:t>
            </w:r>
          </w:p>
        </w:tc>
      </w:tr>
      <w:tr w:rsidR="001C308F" w:rsidRPr="0077476F" w14:paraId="4C76958C" w14:textId="77777777" w:rsidTr="00741075">
        <w:tc>
          <w:tcPr>
            <w:tcW w:w="1889" w:type="dxa"/>
          </w:tcPr>
          <w:p w14:paraId="3B8D7833" w14:textId="77777777" w:rsidR="001C308F" w:rsidRDefault="001C308F" w:rsidP="00741075">
            <w:pPr>
              <w:pStyle w:val="ListParagraph"/>
              <w:ind w:left="0"/>
              <w:rPr>
                <w:rFonts w:cs="Calibri"/>
              </w:rPr>
            </w:pPr>
            <w:r>
              <w:rPr>
                <w:rFonts w:cs="Calibri"/>
              </w:rPr>
              <w:t>Total</w:t>
            </w:r>
          </w:p>
        </w:tc>
        <w:tc>
          <w:tcPr>
            <w:tcW w:w="1534" w:type="dxa"/>
          </w:tcPr>
          <w:p w14:paraId="3D490522" w14:textId="77777777" w:rsidR="001C308F" w:rsidRDefault="001C308F" w:rsidP="00741075">
            <w:pPr>
              <w:pStyle w:val="ListParagraph"/>
              <w:ind w:left="0"/>
              <w:jc w:val="center"/>
              <w:rPr>
                <w:rFonts w:cs="Calibri"/>
              </w:rPr>
            </w:pPr>
            <w:r>
              <w:rPr>
                <w:rFonts w:cs="Calibri"/>
              </w:rPr>
              <w:t>3872</w:t>
            </w:r>
          </w:p>
        </w:tc>
        <w:tc>
          <w:tcPr>
            <w:tcW w:w="1401" w:type="dxa"/>
          </w:tcPr>
          <w:p w14:paraId="3556C391" w14:textId="77777777" w:rsidR="001C308F" w:rsidRDefault="001C308F" w:rsidP="00741075">
            <w:pPr>
              <w:pStyle w:val="ListParagraph"/>
              <w:ind w:left="0"/>
              <w:jc w:val="center"/>
              <w:rPr>
                <w:rFonts w:cs="Calibri"/>
              </w:rPr>
            </w:pPr>
            <w:r>
              <w:rPr>
                <w:rFonts w:cs="Calibri"/>
              </w:rPr>
              <w:t>569</w:t>
            </w:r>
          </w:p>
        </w:tc>
        <w:tc>
          <w:tcPr>
            <w:tcW w:w="1201" w:type="dxa"/>
          </w:tcPr>
          <w:p w14:paraId="5C995FD3" w14:textId="77777777" w:rsidR="001C308F" w:rsidRDefault="001C308F" w:rsidP="00741075">
            <w:pPr>
              <w:pStyle w:val="ListParagraph"/>
              <w:ind w:left="0"/>
              <w:jc w:val="center"/>
              <w:rPr>
                <w:rFonts w:cs="Calibri"/>
              </w:rPr>
            </w:pPr>
            <w:r>
              <w:rPr>
                <w:rFonts w:cs="Calibri"/>
              </w:rPr>
              <w:t>1,732</w:t>
            </w:r>
          </w:p>
        </w:tc>
        <w:tc>
          <w:tcPr>
            <w:tcW w:w="1353" w:type="dxa"/>
          </w:tcPr>
          <w:p w14:paraId="02FE0CCE" w14:textId="77777777" w:rsidR="001C308F" w:rsidRDefault="001C308F" w:rsidP="00741075">
            <w:pPr>
              <w:pStyle w:val="ListParagraph"/>
              <w:ind w:left="0"/>
              <w:jc w:val="center"/>
              <w:rPr>
                <w:rFonts w:cs="Calibri"/>
              </w:rPr>
            </w:pPr>
            <w:r>
              <w:rPr>
                <w:rFonts w:cs="Calibri"/>
              </w:rPr>
              <w:t>6,173</w:t>
            </w:r>
          </w:p>
        </w:tc>
        <w:tc>
          <w:tcPr>
            <w:tcW w:w="1144" w:type="dxa"/>
          </w:tcPr>
          <w:p w14:paraId="673DE492" w14:textId="77777777" w:rsidR="001C308F" w:rsidRDefault="001C308F" w:rsidP="00741075">
            <w:pPr>
              <w:pStyle w:val="ListParagraph"/>
              <w:ind w:left="0"/>
              <w:jc w:val="center"/>
              <w:rPr>
                <w:rFonts w:cs="Calibri"/>
              </w:rPr>
            </w:pPr>
            <w:r>
              <w:rPr>
                <w:rFonts w:cs="Calibri"/>
              </w:rPr>
              <w:t>54.3</w:t>
            </w:r>
            <w:r w:rsidR="00314F49">
              <w:rPr>
                <w:rFonts w:cs="Calibri"/>
              </w:rPr>
              <w:t>%</w:t>
            </w:r>
          </w:p>
        </w:tc>
      </w:tr>
      <w:tr w:rsidR="001C308F" w:rsidRPr="0077476F" w14:paraId="6837B9CE" w14:textId="77777777" w:rsidTr="00741075">
        <w:tc>
          <w:tcPr>
            <w:tcW w:w="1889" w:type="dxa"/>
          </w:tcPr>
          <w:p w14:paraId="7C540AE6" w14:textId="77777777" w:rsidR="001C308F" w:rsidRPr="0077476F" w:rsidRDefault="001C308F" w:rsidP="00741075">
            <w:pPr>
              <w:pStyle w:val="ListParagraph"/>
              <w:ind w:left="0"/>
              <w:rPr>
                <w:rFonts w:cs="Calibri"/>
              </w:rPr>
            </w:pPr>
            <w:r>
              <w:rPr>
                <w:rFonts w:cs="Calibri"/>
              </w:rPr>
              <w:t>Rest of SCDC</w:t>
            </w:r>
          </w:p>
        </w:tc>
        <w:tc>
          <w:tcPr>
            <w:tcW w:w="1534" w:type="dxa"/>
          </w:tcPr>
          <w:p w14:paraId="3F33211A" w14:textId="77777777" w:rsidR="001C308F" w:rsidRDefault="001C308F" w:rsidP="00741075">
            <w:pPr>
              <w:pStyle w:val="ListParagraph"/>
              <w:ind w:left="0"/>
              <w:jc w:val="center"/>
              <w:rPr>
                <w:rFonts w:cs="Calibri"/>
              </w:rPr>
            </w:pPr>
            <w:r>
              <w:rPr>
                <w:rFonts w:cs="Calibri"/>
              </w:rPr>
              <w:t>2,150</w:t>
            </w:r>
          </w:p>
        </w:tc>
        <w:tc>
          <w:tcPr>
            <w:tcW w:w="1401" w:type="dxa"/>
          </w:tcPr>
          <w:p w14:paraId="2789AC8D" w14:textId="77777777" w:rsidR="001C308F" w:rsidRDefault="001C308F" w:rsidP="00741075">
            <w:pPr>
              <w:pStyle w:val="ListParagraph"/>
              <w:ind w:left="0"/>
              <w:jc w:val="center"/>
              <w:rPr>
                <w:rFonts w:cs="Calibri"/>
              </w:rPr>
            </w:pPr>
            <w:r>
              <w:rPr>
                <w:rFonts w:cs="Calibri"/>
              </w:rPr>
              <w:t>407</w:t>
            </w:r>
          </w:p>
        </w:tc>
        <w:tc>
          <w:tcPr>
            <w:tcW w:w="1201" w:type="dxa"/>
          </w:tcPr>
          <w:p w14:paraId="67AD6959" w14:textId="77777777" w:rsidR="001C308F" w:rsidRDefault="001C308F" w:rsidP="00741075">
            <w:pPr>
              <w:pStyle w:val="ListParagraph"/>
              <w:ind w:left="0"/>
              <w:jc w:val="center"/>
              <w:rPr>
                <w:rFonts w:cs="Calibri"/>
              </w:rPr>
            </w:pPr>
            <w:r>
              <w:rPr>
                <w:rFonts w:cs="Calibri"/>
              </w:rPr>
              <w:t>2638</w:t>
            </w:r>
          </w:p>
        </w:tc>
        <w:tc>
          <w:tcPr>
            <w:tcW w:w="1353" w:type="dxa"/>
          </w:tcPr>
          <w:p w14:paraId="02AF6A28" w14:textId="77777777" w:rsidR="001C308F" w:rsidRDefault="001C308F" w:rsidP="00741075">
            <w:pPr>
              <w:pStyle w:val="ListParagraph"/>
              <w:ind w:left="0"/>
              <w:jc w:val="center"/>
              <w:rPr>
                <w:rFonts w:cs="Calibri"/>
              </w:rPr>
            </w:pPr>
            <w:r>
              <w:rPr>
                <w:rFonts w:cs="Calibri"/>
              </w:rPr>
              <w:t>5195</w:t>
            </w:r>
          </w:p>
        </w:tc>
        <w:tc>
          <w:tcPr>
            <w:tcW w:w="1144" w:type="dxa"/>
          </w:tcPr>
          <w:p w14:paraId="1E882673" w14:textId="77777777" w:rsidR="001C308F" w:rsidRPr="0077476F" w:rsidRDefault="001C308F" w:rsidP="00741075">
            <w:pPr>
              <w:pStyle w:val="ListParagraph"/>
              <w:ind w:left="0"/>
              <w:jc w:val="center"/>
              <w:rPr>
                <w:rFonts w:cs="Calibri"/>
              </w:rPr>
            </w:pPr>
            <w:r>
              <w:rPr>
                <w:rFonts w:cs="Calibri"/>
              </w:rPr>
              <w:t>45.7</w:t>
            </w:r>
            <w:r w:rsidR="00314F49">
              <w:rPr>
                <w:rFonts w:cs="Calibri"/>
              </w:rPr>
              <w:t>%</w:t>
            </w:r>
          </w:p>
        </w:tc>
      </w:tr>
      <w:tr w:rsidR="001C308F" w:rsidRPr="0077476F" w14:paraId="43C76FE5" w14:textId="77777777" w:rsidTr="00741075">
        <w:trPr>
          <w:trHeight w:val="70"/>
        </w:trPr>
        <w:tc>
          <w:tcPr>
            <w:tcW w:w="1889" w:type="dxa"/>
          </w:tcPr>
          <w:p w14:paraId="3CE0153D" w14:textId="77777777" w:rsidR="001C308F" w:rsidRPr="0077476F" w:rsidRDefault="001C308F" w:rsidP="00741075">
            <w:pPr>
              <w:pStyle w:val="ListParagraph"/>
              <w:ind w:left="0"/>
              <w:rPr>
                <w:rFonts w:cs="Calibri"/>
              </w:rPr>
            </w:pPr>
            <w:r>
              <w:rPr>
                <w:rFonts w:cs="Calibri"/>
              </w:rPr>
              <w:t>District Total</w:t>
            </w:r>
          </w:p>
        </w:tc>
        <w:tc>
          <w:tcPr>
            <w:tcW w:w="1534" w:type="dxa"/>
          </w:tcPr>
          <w:p w14:paraId="7B9B933B" w14:textId="77777777" w:rsidR="001C308F" w:rsidRDefault="001C308F" w:rsidP="00741075">
            <w:pPr>
              <w:pStyle w:val="ListParagraph"/>
              <w:ind w:left="0"/>
              <w:jc w:val="center"/>
              <w:rPr>
                <w:rFonts w:cs="Calibri"/>
              </w:rPr>
            </w:pPr>
            <w:r>
              <w:rPr>
                <w:rFonts w:cs="Calibri"/>
              </w:rPr>
              <w:t>6,022</w:t>
            </w:r>
          </w:p>
        </w:tc>
        <w:tc>
          <w:tcPr>
            <w:tcW w:w="1401" w:type="dxa"/>
          </w:tcPr>
          <w:p w14:paraId="1A6C48FB" w14:textId="77777777" w:rsidR="001C308F" w:rsidRDefault="001C308F" w:rsidP="00741075">
            <w:pPr>
              <w:pStyle w:val="ListParagraph"/>
              <w:ind w:left="0"/>
              <w:jc w:val="center"/>
              <w:rPr>
                <w:rFonts w:cs="Calibri"/>
              </w:rPr>
            </w:pPr>
            <w:r>
              <w:rPr>
                <w:rFonts w:cs="Calibri"/>
              </w:rPr>
              <w:t>976</w:t>
            </w:r>
          </w:p>
        </w:tc>
        <w:tc>
          <w:tcPr>
            <w:tcW w:w="1201" w:type="dxa"/>
          </w:tcPr>
          <w:p w14:paraId="4738731D" w14:textId="77777777" w:rsidR="001C308F" w:rsidRDefault="001C308F" w:rsidP="00741075">
            <w:pPr>
              <w:pStyle w:val="ListParagraph"/>
              <w:ind w:left="0"/>
              <w:jc w:val="center"/>
              <w:rPr>
                <w:rFonts w:cs="Calibri"/>
              </w:rPr>
            </w:pPr>
            <w:r>
              <w:rPr>
                <w:rFonts w:cs="Calibri"/>
              </w:rPr>
              <w:t>4,370</w:t>
            </w:r>
          </w:p>
        </w:tc>
        <w:tc>
          <w:tcPr>
            <w:tcW w:w="1353" w:type="dxa"/>
          </w:tcPr>
          <w:p w14:paraId="5BA506A3" w14:textId="77777777" w:rsidR="001C308F" w:rsidRDefault="001C308F" w:rsidP="00741075">
            <w:pPr>
              <w:pStyle w:val="ListParagraph"/>
              <w:ind w:left="0"/>
              <w:jc w:val="center"/>
              <w:rPr>
                <w:rFonts w:cs="Calibri"/>
              </w:rPr>
            </w:pPr>
            <w:r>
              <w:rPr>
                <w:rFonts w:cs="Calibri"/>
              </w:rPr>
              <w:t>11,368</w:t>
            </w:r>
          </w:p>
        </w:tc>
        <w:tc>
          <w:tcPr>
            <w:tcW w:w="1144" w:type="dxa"/>
          </w:tcPr>
          <w:p w14:paraId="64FC72A7" w14:textId="77777777" w:rsidR="001C308F" w:rsidRPr="0077476F" w:rsidRDefault="001C308F" w:rsidP="00741075">
            <w:pPr>
              <w:pStyle w:val="ListParagraph"/>
              <w:ind w:left="0"/>
              <w:jc w:val="center"/>
              <w:rPr>
                <w:rFonts w:cs="Calibri"/>
              </w:rPr>
            </w:pPr>
          </w:p>
        </w:tc>
      </w:tr>
    </w:tbl>
    <w:p w14:paraId="551C8E5D" w14:textId="77777777" w:rsidR="001C308F" w:rsidRPr="0004754D" w:rsidRDefault="001C308F" w:rsidP="001C308F">
      <w:pPr>
        <w:contextualSpacing/>
        <w:jc w:val="both"/>
        <w:rPr>
          <w:rFonts w:cs="Calibri"/>
        </w:rPr>
      </w:pPr>
    </w:p>
    <w:p w14:paraId="438E6E63" w14:textId="124CD463" w:rsidR="00C952B0" w:rsidRDefault="00314F49" w:rsidP="00627BA1">
      <w:pPr>
        <w:pStyle w:val="ydpe06a94aayiv4884094150msoplaintext"/>
        <w:numPr>
          <w:ilvl w:val="0"/>
          <w:numId w:val="1"/>
        </w:numPr>
        <w:contextualSpacing/>
        <w:jc w:val="both"/>
        <w:rPr>
          <w:rFonts w:ascii="Calibri" w:hAnsi="Calibri" w:cs="Calibri"/>
          <w:color w:val="26282A"/>
          <w:sz w:val="22"/>
          <w:szCs w:val="22"/>
          <w:lang w:val="en-US"/>
        </w:rPr>
      </w:pPr>
      <w:proofErr w:type="spellStart"/>
      <w:r>
        <w:rPr>
          <w:rFonts w:ascii="Calibri" w:hAnsi="Calibri" w:cs="Calibri"/>
          <w:color w:val="26282A"/>
          <w:sz w:val="22"/>
          <w:szCs w:val="22"/>
          <w:lang w:val="en-US"/>
        </w:rPr>
        <w:t>Felixstowe</w:t>
      </w:r>
      <w:proofErr w:type="spellEnd"/>
      <w:r>
        <w:rPr>
          <w:rFonts w:ascii="Calibri" w:hAnsi="Calibri" w:cs="Calibri"/>
          <w:color w:val="26282A"/>
          <w:sz w:val="22"/>
          <w:szCs w:val="22"/>
          <w:lang w:val="en-US"/>
        </w:rPr>
        <w:t xml:space="preserve"> and the </w:t>
      </w:r>
      <w:proofErr w:type="spellStart"/>
      <w:r>
        <w:rPr>
          <w:rFonts w:ascii="Calibri" w:hAnsi="Calibri" w:cs="Calibri"/>
          <w:color w:val="26282A"/>
          <w:sz w:val="22"/>
          <w:szCs w:val="22"/>
          <w:lang w:val="en-US"/>
        </w:rPr>
        <w:t>Trimleys</w:t>
      </w:r>
      <w:proofErr w:type="spellEnd"/>
      <w:r>
        <w:rPr>
          <w:rFonts w:ascii="Calibri" w:hAnsi="Calibri" w:cs="Calibri"/>
          <w:color w:val="26282A"/>
          <w:sz w:val="22"/>
          <w:szCs w:val="22"/>
          <w:lang w:val="en-US"/>
        </w:rPr>
        <w:t xml:space="preserve"> are absorbing 36%</w:t>
      </w:r>
      <w:r w:rsidR="000C5412">
        <w:rPr>
          <w:rFonts w:ascii="Calibri" w:hAnsi="Calibri" w:cs="Calibri"/>
          <w:color w:val="26282A"/>
          <w:sz w:val="22"/>
          <w:szCs w:val="22"/>
          <w:lang w:val="en-US"/>
        </w:rPr>
        <w:t xml:space="preserve"> of the total amount </w:t>
      </w:r>
      <w:r w:rsidR="009E18B7">
        <w:rPr>
          <w:rFonts w:ascii="Calibri" w:hAnsi="Calibri" w:cs="Calibri"/>
          <w:color w:val="26282A"/>
          <w:sz w:val="22"/>
          <w:szCs w:val="22"/>
          <w:lang w:val="en-US"/>
        </w:rPr>
        <w:t xml:space="preserve">of housing </w:t>
      </w:r>
      <w:r w:rsidR="000C5412">
        <w:rPr>
          <w:rFonts w:ascii="Calibri" w:hAnsi="Calibri" w:cs="Calibri"/>
          <w:color w:val="26282A"/>
          <w:sz w:val="22"/>
          <w:szCs w:val="22"/>
          <w:lang w:val="en-US"/>
        </w:rPr>
        <w:t xml:space="preserve">across the </w:t>
      </w:r>
      <w:r w:rsidR="009E18B7">
        <w:rPr>
          <w:rFonts w:ascii="Calibri" w:hAnsi="Calibri" w:cs="Calibri"/>
          <w:color w:val="26282A"/>
          <w:sz w:val="22"/>
          <w:szCs w:val="22"/>
          <w:lang w:val="en-US"/>
        </w:rPr>
        <w:t>D</w:t>
      </w:r>
      <w:r w:rsidR="000C5412">
        <w:rPr>
          <w:rFonts w:ascii="Calibri" w:hAnsi="Calibri" w:cs="Calibri"/>
          <w:color w:val="26282A"/>
          <w:sz w:val="22"/>
          <w:szCs w:val="22"/>
          <w:lang w:val="en-US"/>
        </w:rPr>
        <w:t xml:space="preserve">istrict. </w:t>
      </w:r>
      <w:r w:rsidR="009E18B7">
        <w:rPr>
          <w:rFonts w:ascii="Calibri" w:hAnsi="Calibri" w:cs="Calibri"/>
          <w:color w:val="26282A"/>
          <w:sz w:val="22"/>
          <w:szCs w:val="22"/>
          <w:lang w:val="en-US"/>
        </w:rPr>
        <w:t xml:space="preserve">This </w:t>
      </w:r>
      <w:r w:rsidR="000C5412">
        <w:rPr>
          <w:rFonts w:ascii="Calibri" w:hAnsi="Calibri" w:cs="Calibri"/>
          <w:color w:val="26282A"/>
          <w:sz w:val="22"/>
          <w:szCs w:val="22"/>
          <w:lang w:val="en-US"/>
        </w:rPr>
        <w:t>will produce a</w:t>
      </w:r>
      <w:r w:rsidR="009E18B7">
        <w:rPr>
          <w:rFonts w:ascii="Calibri" w:hAnsi="Calibri" w:cs="Calibri"/>
          <w:color w:val="26282A"/>
          <w:sz w:val="22"/>
          <w:szCs w:val="22"/>
          <w:lang w:val="en-US"/>
        </w:rPr>
        <w:t xml:space="preserve"> </w:t>
      </w:r>
      <w:r w:rsidR="000C5412">
        <w:rPr>
          <w:rFonts w:ascii="Calibri" w:hAnsi="Calibri" w:cs="Calibri"/>
          <w:color w:val="26282A"/>
          <w:sz w:val="22"/>
          <w:szCs w:val="22"/>
          <w:lang w:val="en-US"/>
        </w:rPr>
        <w:t xml:space="preserve">population increase of approx 1,800 who will have </w:t>
      </w:r>
      <w:r w:rsidR="001E6441">
        <w:rPr>
          <w:rFonts w:ascii="Calibri" w:hAnsi="Calibri" w:cs="Calibri"/>
          <w:color w:val="26282A"/>
          <w:sz w:val="22"/>
          <w:szCs w:val="22"/>
          <w:lang w:val="en-US"/>
        </w:rPr>
        <w:t>be serviced by the</w:t>
      </w:r>
      <w:r w:rsidR="000C5412">
        <w:rPr>
          <w:rFonts w:ascii="Calibri" w:hAnsi="Calibri" w:cs="Calibri"/>
          <w:color w:val="26282A"/>
          <w:sz w:val="22"/>
          <w:szCs w:val="22"/>
          <w:lang w:val="en-US"/>
        </w:rPr>
        <w:t xml:space="preserve"> existing infrastructure</w:t>
      </w:r>
      <w:r w:rsidR="00C0515F">
        <w:rPr>
          <w:rFonts w:ascii="Calibri" w:hAnsi="Calibri" w:cs="Calibri"/>
          <w:color w:val="26282A"/>
          <w:sz w:val="22"/>
          <w:szCs w:val="22"/>
          <w:lang w:val="en-US"/>
        </w:rPr>
        <w:t>.</w:t>
      </w:r>
      <w:r w:rsidR="00EC6F4F">
        <w:rPr>
          <w:rFonts w:ascii="Calibri" w:hAnsi="Calibri" w:cs="Calibri"/>
          <w:color w:val="26282A"/>
          <w:sz w:val="22"/>
          <w:szCs w:val="22"/>
          <w:lang w:val="en-US"/>
        </w:rPr>
        <w:t xml:space="preserve"> </w:t>
      </w:r>
      <w:r w:rsidR="00710A68">
        <w:rPr>
          <w:rFonts w:ascii="Calibri" w:hAnsi="Calibri" w:cs="Calibri"/>
          <w:color w:val="26282A"/>
          <w:sz w:val="22"/>
          <w:szCs w:val="22"/>
          <w:lang w:val="en-US"/>
        </w:rPr>
        <w:t>The only new benefit would appear to be a</w:t>
      </w:r>
      <w:r w:rsidR="000C5412">
        <w:rPr>
          <w:rFonts w:ascii="Calibri" w:hAnsi="Calibri" w:cs="Calibri"/>
          <w:color w:val="26282A"/>
          <w:sz w:val="22"/>
          <w:szCs w:val="22"/>
          <w:lang w:val="en-US"/>
        </w:rPr>
        <w:t xml:space="preserve"> new school. This</w:t>
      </w:r>
      <w:r w:rsidR="002553E3">
        <w:rPr>
          <w:rFonts w:ascii="Calibri" w:hAnsi="Calibri" w:cs="Calibri"/>
          <w:color w:val="26282A"/>
          <w:sz w:val="22"/>
          <w:szCs w:val="22"/>
          <w:lang w:val="en-US"/>
        </w:rPr>
        <w:t xml:space="preserve"> </w:t>
      </w:r>
      <w:r w:rsidR="007C3527">
        <w:rPr>
          <w:rFonts w:ascii="Calibri" w:hAnsi="Calibri" w:cs="Calibri"/>
          <w:color w:val="26282A"/>
          <w:sz w:val="22"/>
          <w:szCs w:val="22"/>
          <w:lang w:val="en-US"/>
        </w:rPr>
        <w:t>increased number</w:t>
      </w:r>
      <w:r w:rsidR="002553E3">
        <w:rPr>
          <w:rFonts w:ascii="Calibri" w:hAnsi="Calibri" w:cs="Calibri"/>
          <w:color w:val="26282A"/>
          <w:sz w:val="22"/>
          <w:szCs w:val="22"/>
          <w:lang w:val="en-US"/>
        </w:rPr>
        <w:t xml:space="preserve"> of people</w:t>
      </w:r>
      <w:r w:rsidR="00E21DDA">
        <w:rPr>
          <w:rFonts w:ascii="Calibri" w:hAnsi="Calibri" w:cs="Calibri"/>
          <w:color w:val="26282A"/>
          <w:sz w:val="22"/>
          <w:szCs w:val="22"/>
          <w:lang w:val="en-US"/>
        </w:rPr>
        <w:t>, together with the effect of closing the</w:t>
      </w:r>
      <w:r w:rsidR="008F66EF">
        <w:rPr>
          <w:rFonts w:ascii="Calibri" w:hAnsi="Calibri" w:cs="Calibri"/>
          <w:color w:val="26282A"/>
          <w:sz w:val="22"/>
          <w:szCs w:val="22"/>
          <w:lang w:val="en-US"/>
        </w:rPr>
        <w:t xml:space="preserve"> walk-in service at the</w:t>
      </w:r>
      <w:r w:rsidR="00E21DDA">
        <w:rPr>
          <w:rFonts w:ascii="Calibri" w:hAnsi="Calibri" w:cs="Calibri"/>
          <w:color w:val="26282A"/>
          <w:sz w:val="22"/>
          <w:szCs w:val="22"/>
          <w:lang w:val="en-US"/>
        </w:rPr>
        <w:t xml:space="preserve"> </w:t>
      </w:r>
      <w:proofErr w:type="spellStart"/>
      <w:r w:rsidR="00E21DDA">
        <w:rPr>
          <w:rFonts w:ascii="Calibri" w:hAnsi="Calibri" w:cs="Calibri"/>
          <w:color w:val="26282A"/>
          <w:sz w:val="22"/>
          <w:szCs w:val="22"/>
          <w:lang w:val="en-US"/>
        </w:rPr>
        <w:t>Felixstowe</w:t>
      </w:r>
      <w:proofErr w:type="spellEnd"/>
      <w:r w:rsidR="002553E3">
        <w:rPr>
          <w:rFonts w:ascii="Calibri" w:hAnsi="Calibri" w:cs="Calibri"/>
          <w:color w:val="26282A"/>
          <w:sz w:val="22"/>
          <w:szCs w:val="22"/>
          <w:lang w:val="en-US"/>
        </w:rPr>
        <w:t xml:space="preserve"> </w:t>
      </w:r>
      <w:r w:rsidR="008F66EF">
        <w:rPr>
          <w:rFonts w:ascii="Calibri" w:hAnsi="Calibri" w:cs="Calibri"/>
          <w:color w:val="26282A"/>
          <w:sz w:val="22"/>
          <w:szCs w:val="22"/>
          <w:lang w:val="en-US"/>
        </w:rPr>
        <w:t xml:space="preserve">General Hospital, </w:t>
      </w:r>
      <w:r w:rsidR="002553E3">
        <w:rPr>
          <w:rFonts w:ascii="Calibri" w:hAnsi="Calibri" w:cs="Calibri"/>
          <w:color w:val="26282A"/>
          <w:sz w:val="22"/>
          <w:szCs w:val="22"/>
          <w:lang w:val="en-US"/>
        </w:rPr>
        <w:t xml:space="preserve">will place an intolerable </w:t>
      </w:r>
      <w:r w:rsidR="000C5412">
        <w:rPr>
          <w:rFonts w:ascii="Calibri" w:hAnsi="Calibri" w:cs="Calibri"/>
          <w:color w:val="26282A"/>
          <w:sz w:val="22"/>
          <w:szCs w:val="22"/>
          <w:lang w:val="en-US"/>
        </w:rPr>
        <w:t xml:space="preserve">burden upon </w:t>
      </w:r>
      <w:r w:rsidR="007677D7">
        <w:rPr>
          <w:rFonts w:ascii="Calibri" w:hAnsi="Calibri" w:cs="Calibri"/>
          <w:color w:val="26282A"/>
          <w:sz w:val="22"/>
          <w:szCs w:val="22"/>
          <w:lang w:val="en-US"/>
        </w:rPr>
        <w:t>local GP surgeries</w:t>
      </w:r>
      <w:r w:rsidR="00C24C49">
        <w:rPr>
          <w:rFonts w:ascii="Calibri" w:hAnsi="Calibri" w:cs="Calibri"/>
          <w:color w:val="26282A"/>
          <w:sz w:val="22"/>
          <w:szCs w:val="22"/>
          <w:lang w:val="en-US"/>
        </w:rPr>
        <w:t xml:space="preserve"> </w:t>
      </w:r>
    </w:p>
    <w:p w14:paraId="4A2D9552" w14:textId="77777777" w:rsidR="00C24C49" w:rsidRDefault="00C24C49" w:rsidP="00C24C49">
      <w:pPr>
        <w:pStyle w:val="ydpe06a94aayiv4884094150msoplaintext"/>
        <w:ind w:left="720"/>
        <w:contextualSpacing/>
        <w:jc w:val="both"/>
        <w:rPr>
          <w:rFonts w:ascii="Calibri" w:hAnsi="Calibri" w:cs="Calibri"/>
          <w:color w:val="26282A"/>
          <w:sz w:val="22"/>
          <w:szCs w:val="22"/>
          <w:lang w:val="en-US"/>
        </w:rPr>
      </w:pPr>
    </w:p>
    <w:p w14:paraId="0ECDABCC" w14:textId="3164336D" w:rsidR="00B30166" w:rsidRPr="004206AF" w:rsidRDefault="00C24C49" w:rsidP="004206AF">
      <w:pPr>
        <w:pStyle w:val="ydpe06a94aayiv4884094150msoplaintext"/>
        <w:numPr>
          <w:ilvl w:val="0"/>
          <w:numId w:val="1"/>
        </w:numPr>
        <w:contextualSpacing/>
        <w:jc w:val="both"/>
        <w:rPr>
          <w:rFonts w:ascii="Calibri" w:hAnsi="Calibri" w:cs="Calibri"/>
          <w:color w:val="26282A"/>
          <w:sz w:val="22"/>
          <w:szCs w:val="22"/>
          <w:lang w:val="en-US"/>
        </w:rPr>
      </w:pPr>
      <w:r>
        <w:rPr>
          <w:rFonts w:ascii="Calibri" w:hAnsi="Calibri" w:cs="Calibri"/>
          <w:color w:val="26282A"/>
          <w:sz w:val="22"/>
          <w:szCs w:val="22"/>
          <w:lang w:val="en-US"/>
        </w:rPr>
        <w:t xml:space="preserve">Such an increase </w:t>
      </w:r>
      <w:r w:rsidRPr="00C24C49">
        <w:rPr>
          <w:rFonts w:ascii="Calibri" w:hAnsi="Calibri" w:cs="Calibri"/>
          <w:color w:val="26282A"/>
          <w:sz w:val="22"/>
          <w:szCs w:val="22"/>
          <w:lang w:val="en-US"/>
        </w:rPr>
        <w:t xml:space="preserve">in population will also directly impact upon </w:t>
      </w:r>
      <w:r w:rsidR="00855B5E">
        <w:rPr>
          <w:rFonts w:ascii="Calibri" w:hAnsi="Calibri" w:cs="Calibri"/>
          <w:color w:val="26282A"/>
          <w:sz w:val="22"/>
          <w:szCs w:val="22"/>
          <w:lang w:val="en-US"/>
        </w:rPr>
        <w:t xml:space="preserve">serious </w:t>
      </w:r>
      <w:r w:rsidRPr="00C24C49">
        <w:rPr>
          <w:rFonts w:ascii="Calibri" w:hAnsi="Calibri" w:cs="Calibri"/>
          <w:color w:val="26282A"/>
          <w:sz w:val="22"/>
          <w:szCs w:val="22"/>
          <w:lang w:val="en-US"/>
        </w:rPr>
        <w:t xml:space="preserve">incidents attended by </w:t>
      </w:r>
      <w:r w:rsidR="00855B5E">
        <w:rPr>
          <w:rFonts w:ascii="Calibri" w:hAnsi="Calibri" w:cs="Calibri"/>
          <w:color w:val="26282A"/>
          <w:sz w:val="22"/>
          <w:szCs w:val="22"/>
          <w:lang w:val="en-US"/>
        </w:rPr>
        <w:t xml:space="preserve">all </w:t>
      </w:r>
      <w:r w:rsidRPr="00C24C49">
        <w:rPr>
          <w:rFonts w:ascii="Calibri" w:hAnsi="Calibri" w:cs="Calibri"/>
          <w:color w:val="26282A"/>
          <w:sz w:val="22"/>
          <w:szCs w:val="22"/>
          <w:lang w:val="en-US"/>
        </w:rPr>
        <w:t>emergency services</w:t>
      </w:r>
      <w:r w:rsidR="00CB1221">
        <w:rPr>
          <w:rFonts w:ascii="Calibri" w:hAnsi="Calibri" w:cs="Calibri"/>
          <w:color w:val="26282A"/>
          <w:sz w:val="22"/>
          <w:szCs w:val="22"/>
          <w:lang w:val="en-US"/>
        </w:rPr>
        <w:t xml:space="preserve">, especially ambulance crews, a </w:t>
      </w:r>
      <w:r w:rsidR="00573C82">
        <w:rPr>
          <w:rFonts w:ascii="Calibri" w:hAnsi="Calibri" w:cs="Calibri"/>
          <w:color w:val="26282A"/>
          <w:sz w:val="22"/>
          <w:szCs w:val="22"/>
          <w:lang w:val="en-US"/>
        </w:rPr>
        <w:t>dental surgery</w:t>
      </w:r>
      <w:r w:rsidR="009F1246">
        <w:rPr>
          <w:rFonts w:ascii="Calibri" w:hAnsi="Calibri" w:cs="Calibri"/>
          <w:color w:val="26282A"/>
          <w:sz w:val="22"/>
          <w:szCs w:val="22"/>
          <w:lang w:val="en-US"/>
        </w:rPr>
        <w:t xml:space="preserve"> (nearest 1.6m away</w:t>
      </w:r>
      <w:r w:rsidR="007677D7">
        <w:rPr>
          <w:rFonts w:ascii="Calibri" w:hAnsi="Calibri" w:cs="Calibri"/>
          <w:color w:val="26282A"/>
          <w:sz w:val="22"/>
          <w:szCs w:val="22"/>
          <w:lang w:val="en-US"/>
        </w:rPr>
        <w:t xml:space="preserve"> from Trimley St Martin</w:t>
      </w:r>
      <w:r w:rsidR="009F1246">
        <w:rPr>
          <w:rFonts w:ascii="Calibri" w:hAnsi="Calibri" w:cs="Calibri"/>
          <w:color w:val="26282A"/>
          <w:sz w:val="22"/>
          <w:szCs w:val="22"/>
          <w:lang w:val="en-US"/>
        </w:rPr>
        <w:t xml:space="preserve">), and the nearest Pharmacy is in </w:t>
      </w:r>
      <w:proofErr w:type="spellStart"/>
      <w:r w:rsidR="009F1246">
        <w:rPr>
          <w:rFonts w:ascii="Calibri" w:hAnsi="Calibri" w:cs="Calibri"/>
          <w:color w:val="26282A"/>
          <w:sz w:val="22"/>
          <w:szCs w:val="22"/>
          <w:lang w:val="en-US"/>
        </w:rPr>
        <w:t>Felixstowe</w:t>
      </w:r>
      <w:proofErr w:type="spellEnd"/>
      <w:r w:rsidR="009F1246">
        <w:rPr>
          <w:rFonts w:ascii="Calibri" w:hAnsi="Calibri" w:cs="Calibri"/>
          <w:color w:val="26282A"/>
          <w:sz w:val="22"/>
          <w:szCs w:val="22"/>
          <w:lang w:val="en-US"/>
        </w:rPr>
        <w:t xml:space="preserve">. The new </w:t>
      </w:r>
      <w:r w:rsidR="007677D7">
        <w:rPr>
          <w:rFonts w:ascii="Calibri" w:hAnsi="Calibri" w:cs="Calibri"/>
          <w:color w:val="26282A"/>
          <w:sz w:val="22"/>
          <w:szCs w:val="22"/>
          <w:lang w:val="en-US"/>
        </w:rPr>
        <w:t xml:space="preserve">Trimley Villages housing </w:t>
      </w:r>
      <w:r w:rsidR="00573C82">
        <w:rPr>
          <w:rFonts w:ascii="Calibri" w:hAnsi="Calibri" w:cs="Calibri"/>
          <w:color w:val="26282A"/>
          <w:sz w:val="22"/>
          <w:szCs w:val="22"/>
          <w:lang w:val="en-US"/>
        </w:rPr>
        <w:t xml:space="preserve">will also </w:t>
      </w:r>
      <w:r w:rsidR="009F1246">
        <w:rPr>
          <w:rFonts w:ascii="Calibri" w:hAnsi="Calibri" w:cs="Calibri"/>
          <w:color w:val="26282A"/>
          <w:sz w:val="22"/>
          <w:szCs w:val="22"/>
          <w:lang w:val="en-US"/>
        </w:rPr>
        <w:t xml:space="preserve">have a </w:t>
      </w:r>
      <w:r w:rsidR="00D0532E">
        <w:rPr>
          <w:rFonts w:ascii="Calibri" w:hAnsi="Calibri" w:cs="Calibri"/>
          <w:color w:val="26282A"/>
          <w:sz w:val="22"/>
          <w:szCs w:val="22"/>
          <w:lang w:val="en-US"/>
        </w:rPr>
        <w:t xml:space="preserve">huge impact upon </w:t>
      </w:r>
      <w:r w:rsidR="004A1E99">
        <w:rPr>
          <w:rFonts w:ascii="Calibri" w:hAnsi="Calibri" w:cs="Calibri"/>
          <w:color w:val="26282A"/>
          <w:sz w:val="22"/>
          <w:szCs w:val="22"/>
          <w:lang w:val="en-US"/>
        </w:rPr>
        <w:t xml:space="preserve">access to </w:t>
      </w:r>
      <w:r w:rsidR="00D0532E">
        <w:rPr>
          <w:rFonts w:ascii="Calibri" w:hAnsi="Calibri" w:cs="Calibri"/>
          <w:color w:val="26282A"/>
          <w:sz w:val="22"/>
          <w:szCs w:val="22"/>
          <w:lang w:val="en-US"/>
        </w:rPr>
        <w:t>the local convenience stor</w:t>
      </w:r>
      <w:r w:rsidR="009F1246">
        <w:rPr>
          <w:rFonts w:ascii="Calibri" w:hAnsi="Calibri" w:cs="Calibri"/>
          <w:color w:val="26282A"/>
          <w:sz w:val="22"/>
          <w:szCs w:val="22"/>
          <w:lang w:val="en-US"/>
        </w:rPr>
        <w:t xml:space="preserve">e with integral Post Office, </w:t>
      </w:r>
      <w:r w:rsidR="007677D7">
        <w:rPr>
          <w:rFonts w:ascii="Calibri" w:hAnsi="Calibri" w:cs="Calibri"/>
          <w:color w:val="26282A"/>
          <w:sz w:val="22"/>
          <w:szCs w:val="22"/>
          <w:lang w:val="en-US"/>
        </w:rPr>
        <w:t xml:space="preserve">leading to </w:t>
      </w:r>
      <w:r w:rsidR="00D0532E">
        <w:rPr>
          <w:rFonts w:ascii="Calibri" w:hAnsi="Calibri" w:cs="Calibri"/>
          <w:color w:val="26282A"/>
          <w:sz w:val="22"/>
          <w:szCs w:val="22"/>
          <w:lang w:val="en-US"/>
        </w:rPr>
        <w:t>a significant increas</w:t>
      </w:r>
      <w:r w:rsidR="00573C82">
        <w:rPr>
          <w:rFonts w:ascii="Calibri" w:hAnsi="Calibri" w:cs="Calibri"/>
          <w:color w:val="26282A"/>
          <w:sz w:val="22"/>
          <w:szCs w:val="22"/>
          <w:lang w:val="en-US"/>
        </w:rPr>
        <w:t>e in anti-social parking</w:t>
      </w:r>
      <w:r w:rsidR="004A1E99">
        <w:rPr>
          <w:rFonts w:ascii="Calibri" w:hAnsi="Calibri" w:cs="Calibri"/>
          <w:color w:val="26282A"/>
          <w:sz w:val="22"/>
          <w:szCs w:val="22"/>
          <w:lang w:val="en-US"/>
        </w:rPr>
        <w:t xml:space="preserve"> issues. The </w:t>
      </w:r>
      <w:r w:rsidR="004A1E99">
        <w:rPr>
          <w:rFonts w:ascii="Calibri" w:hAnsi="Calibri" w:cs="Calibri"/>
          <w:color w:val="26282A"/>
          <w:sz w:val="22"/>
          <w:szCs w:val="22"/>
          <w:lang w:val="en-US"/>
        </w:rPr>
        <w:lastRenderedPageBreak/>
        <w:t>Plan has fa</w:t>
      </w:r>
      <w:r w:rsidR="007677D7">
        <w:rPr>
          <w:rFonts w:ascii="Calibri" w:hAnsi="Calibri" w:cs="Calibri"/>
          <w:color w:val="26282A"/>
          <w:sz w:val="22"/>
          <w:szCs w:val="22"/>
          <w:lang w:val="en-US"/>
        </w:rPr>
        <w:t xml:space="preserve">iled to address the consequences of the cumulative </w:t>
      </w:r>
      <w:r w:rsidR="004A1E99">
        <w:rPr>
          <w:rFonts w:ascii="Calibri" w:hAnsi="Calibri" w:cs="Calibri"/>
          <w:color w:val="26282A"/>
          <w:sz w:val="22"/>
          <w:szCs w:val="22"/>
          <w:lang w:val="en-US"/>
        </w:rPr>
        <w:t xml:space="preserve">impact of </w:t>
      </w:r>
      <w:r w:rsidR="007677D7">
        <w:rPr>
          <w:rFonts w:ascii="Calibri" w:hAnsi="Calibri" w:cs="Calibri"/>
          <w:color w:val="26282A"/>
          <w:sz w:val="22"/>
          <w:szCs w:val="22"/>
          <w:lang w:val="en-US"/>
        </w:rPr>
        <w:t>all</w:t>
      </w:r>
      <w:r w:rsidR="004A1E99">
        <w:rPr>
          <w:rFonts w:ascii="Calibri" w:hAnsi="Calibri" w:cs="Calibri"/>
          <w:color w:val="26282A"/>
          <w:sz w:val="22"/>
          <w:szCs w:val="22"/>
          <w:lang w:val="en-US"/>
        </w:rPr>
        <w:t xml:space="preserve"> </w:t>
      </w:r>
      <w:r w:rsidR="007677D7">
        <w:rPr>
          <w:rFonts w:ascii="Calibri" w:hAnsi="Calibri" w:cs="Calibri"/>
          <w:color w:val="26282A"/>
          <w:sz w:val="22"/>
          <w:szCs w:val="22"/>
          <w:lang w:val="en-US"/>
        </w:rPr>
        <w:t xml:space="preserve">the Trimley Villages </w:t>
      </w:r>
      <w:r w:rsidR="004A1E99">
        <w:rPr>
          <w:rFonts w:ascii="Calibri" w:hAnsi="Calibri" w:cs="Calibri"/>
          <w:color w:val="26282A"/>
          <w:sz w:val="22"/>
          <w:szCs w:val="22"/>
          <w:lang w:val="en-US"/>
        </w:rPr>
        <w:t xml:space="preserve">developments </w:t>
      </w:r>
      <w:r w:rsidR="007677D7">
        <w:rPr>
          <w:rFonts w:ascii="Calibri" w:hAnsi="Calibri" w:cs="Calibri"/>
          <w:color w:val="26282A"/>
          <w:sz w:val="22"/>
          <w:szCs w:val="22"/>
          <w:lang w:val="en-US"/>
        </w:rPr>
        <w:t xml:space="preserve">upon </w:t>
      </w:r>
      <w:proofErr w:type="gramStart"/>
      <w:r w:rsidR="004A1E99">
        <w:rPr>
          <w:rFonts w:ascii="Calibri" w:hAnsi="Calibri" w:cs="Calibri"/>
          <w:color w:val="26282A"/>
          <w:sz w:val="22"/>
          <w:szCs w:val="22"/>
          <w:lang w:val="en-US"/>
        </w:rPr>
        <w:t>local residents</w:t>
      </w:r>
      <w:proofErr w:type="gramEnd"/>
    </w:p>
    <w:p w14:paraId="13D4889A" w14:textId="77777777" w:rsidR="004206AF" w:rsidRDefault="004206AF" w:rsidP="004206AF">
      <w:pPr>
        <w:pStyle w:val="ydpe06a94aayiv4884094150msoplaintext"/>
        <w:ind w:left="927"/>
        <w:contextualSpacing/>
        <w:jc w:val="both"/>
        <w:rPr>
          <w:rFonts w:ascii="Calibri" w:hAnsi="Calibri" w:cs="Calibri"/>
          <w:color w:val="26282A"/>
          <w:sz w:val="22"/>
          <w:szCs w:val="22"/>
          <w:lang w:val="en-US"/>
        </w:rPr>
      </w:pPr>
    </w:p>
    <w:p w14:paraId="39435007" w14:textId="77777777" w:rsidR="004206AF" w:rsidRPr="004206AF" w:rsidRDefault="003B1606" w:rsidP="004206AF">
      <w:pPr>
        <w:pStyle w:val="ydpe06a94aayiv4884094150msoplaintext"/>
        <w:numPr>
          <w:ilvl w:val="0"/>
          <w:numId w:val="1"/>
        </w:numPr>
        <w:contextualSpacing/>
        <w:jc w:val="both"/>
        <w:rPr>
          <w:rFonts w:asciiTheme="minorHAnsi" w:hAnsiTheme="minorHAnsi" w:cstheme="minorHAnsi"/>
          <w:color w:val="26282A"/>
          <w:sz w:val="22"/>
          <w:szCs w:val="22"/>
          <w:lang w:val="en-US"/>
        </w:rPr>
      </w:pPr>
      <w:r w:rsidRPr="004206AF">
        <w:rPr>
          <w:rFonts w:asciiTheme="minorHAnsi" w:hAnsiTheme="minorHAnsi" w:cstheme="minorHAnsi"/>
          <w:color w:val="26282A"/>
          <w:sz w:val="22"/>
          <w:szCs w:val="22"/>
          <w:lang w:val="en-US"/>
        </w:rPr>
        <w:t>The existing infrastructure is not able to support the additional housing growth. The presence of the proposed new school (approx 400 pupils) will have an additionally huge impact upon the local convenience store notwithstanding safety concerns at the roundabout.</w:t>
      </w:r>
    </w:p>
    <w:p w14:paraId="6E0CE367" w14:textId="5B8931AB" w:rsidR="00B30166" w:rsidRPr="004206AF" w:rsidRDefault="003B1606" w:rsidP="004206AF">
      <w:pPr>
        <w:pStyle w:val="ydpe06a94aayiv4884094150msoplaintext"/>
        <w:contextualSpacing/>
        <w:jc w:val="both"/>
        <w:rPr>
          <w:rFonts w:asciiTheme="minorHAnsi" w:hAnsiTheme="minorHAnsi" w:cstheme="minorHAnsi"/>
          <w:color w:val="26282A"/>
          <w:sz w:val="22"/>
          <w:szCs w:val="22"/>
          <w:lang w:val="en-US"/>
        </w:rPr>
      </w:pPr>
      <w:r w:rsidRPr="004206AF">
        <w:rPr>
          <w:rFonts w:asciiTheme="minorHAnsi" w:hAnsiTheme="minorHAnsi" w:cstheme="minorHAnsi"/>
          <w:color w:val="26282A"/>
          <w:sz w:val="22"/>
          <w:szCs w:val="22"/>
          <w:lang w:val="en-US"/>
        </w:rPr>
        <w:t xml:space="preserve">  </w:t>
      </w:r>
    </w:p>
    <w:p w14:paraId="4BD578B3" w14:textId="64E0B113" w:rsidR="00DC2E3C" w:rsidRPr="004206AF" w:rsidRDefault="0049376C" w:rsidP="00B30166">
      <w:pPr>
        <w:pStyle w:val="ydpe06a94aayiv4884094150msoplaintext"/>
        <w:numPr>
          <w:ilvl w:val="0"/>
          <w:numId w:val="1"/>
        </w:numPr>
        <w:contextualSpacing/>
        <w:jc w:val="both"/>
        <w:rPr>
          <w:rFonts w:asciiTheme="minorHAnsi" w:hAnsiTheme="minorHAnsi" w:cstheme="minorHAnsi"/>
          <w:color w:val="26282A"/>
          <w:sz w:val="22"/>
          <w:szCs w:val="22"/>
          <w:lang w:val="en-US"/>
        </w:rPr>
      </w:pPr>
      <w:r w:rsidRPr="004206AF">
        <w:rPr>
          <w:rFonts w:asciiTheme="minorHAnsi" w:eastAsia="Times New Roman" w:hAnsiTheme="minorHAnsi" w:cstheme="minorHAnsi"/>
          <w:color w:val="000000"/>
          <w:sz w:val="22"/>
          <w:szCs w:val="22"/>
        </w:rPr>
        <w:t>A</w:t>
      </w:r>
      <w:r w:rsidR="00DC2E3C" w:rsidRPr="004206AF">
        <w:rPr>
          <w:rFonts w:asciiTheme="minorHAnsi" w:eastAsia="Times New Roman" w:hAnsiTheme="minorHAnsi" w:cstheme="minorHAnsi"/>
          <w:color w:val="000000"/>
          <w:sz w:val="22"/>
          <w:szCs w:val="22"/>
        </w:rPr>
        <w:t xml:space="preserve"> sustainable community continually adjust</w:t>
      </w:r>
      <w:r w:rsidRPr="004206AF">
        <w:rPr>
          <w:rFonts w:asciiTheme="minorHAnsi" w:eastAsia="Times New Roman" w:hAnsiTheme="minorHAnsi" w:cstheme="minorHAnsi"/>
          <w:color w:val="000000"/>
          <w:sz w:val="22"/>
          <w:szCs w:val="22"/>
        </w:rPr>
        <w:t>s</w:t>
      </w:r>
      <w:r w:rsidR="00DC2E3C" w:rsidRPr="004206AF">
        <w:rPr>
          <w:rFonts w:asciiTheme="minorHAnsi" w:eastAsia="Times New Roman" w:hAnsiTheme="minorHAnsi" w:cstheme="minorHAnsi"/>
          <w:color w:val="000000"/>
          <w:sz w:val="22"/>
          <w:szCs w:val="22"/>
        </w:rPr>
        <w:t xml:space="preserve"> to meet the social and economic needs of its residents</w:t>
      </w:r>
      <w:r w:rsidRPr="004206AF">
        <w:rPr>
          <w:rFonts w:asciiTheme="minorHAnsi" w:eastAsia="Times New Roman" w:hAnsiTheme="minorHAnsi" w:cstheme="minorHAnsi"/>
          <w:color w:val="000000"/>
          <w:sz w:val="22"/>
          <w:szCs w:val="22"/>
        </w:rPr>
        <w:t>,</w:t>
      </w:r>
      <w:r w:rsidR="00DC2E3C" w:rsidRPr="004206AF">
        <w:rPr>
          <w:rFonts w:asciiTheme="minorHAnsi" w:eastAsia="Times New Roman" w:hAnsiTheme="minorHAnsi" w:cstheme="minorHAnsi"/>
          <w:color w:val="000000"/>
          <w:sz w:val="22"/>
          <w:szCs w:val="22"/>
        </w:rPr>
        <w:t xml:space="preserve"> while preserving the environment’s ability to support it.</w:t>
      </w:r>
      <w:r w:rsidR="00EA1392" w:rsidRPr="004206AF">
        <w:rPr>
          <w:rFonts w:asciiTheme="minorHAnsi" w:eastAsia="Times New Roman" w:hAnsiTheme="minorHAnsi" w:cstheme="minorHAnsi"/>
          <w:color w:val="000000"/>
          <w:sz w:val="22"/>
          <w:szCs w:val="22"/>
        </w:rPr>
        <w:t xml:space="preserve"> </w:t>
      </w:r>
      <w:r w:rsidR="00DC2E3C" w:rsidRPr="004206AF">
        <w:rPr>
          <w:rFonts w:asciiTheme="minorHAnsi" w:eastAsia="Times New Roman" w:hAnsiTheme="minorHAnsi" w:cstheme="minorHAnsi"/>
          <w:color w:val="000000"/>
          <w:sz w:val="22"/>
          <w:szCs w:val="22"/>
        </w:rPr>
        <w:t>A sustainable community uses its resources to meet current needs while ensuring that adequate resources are available for future generations</w:t>
      </w:r>
      <w:r w:rsidR="00EA1392" w:rsidRPr="004206AF">
        <w:rPr>
          <w:rFonts w:asciiTheme="minorHAnsi" w:eastAsia="Times New Roman" w:hAnsiTheme="minorHAnsi" w:cstheme="minorHAnsi"/>
          <w:color w:val="000000"/>
          <w:sz w:val="22"/>
          <w:szCs w:val="22"/>
        </w:rPr>
        <w:t>. This cannot be said of the current proposals</w:t>
      </w:r>
      <w:r w:rsidR="00BC72C1" w:rsidRPr="004206AF">
        <w:rPr>
          <w:rFonts w:asciiTheme="minorHAnsi" w:eastAsia="Times New Roman" w:hAnsiTheme="minorHAnsi" w:cstheme="minorHAnsi"/>
          <w:color w:val="000000"/>
          <w:sz w:val="22"/>
          <w:szCs w:val="22"/>
        </w:rPr>
        <w:t>.</w:t>
      </w:r>
      <w:r w:rsidR="00EA1392" w:rsidRPr="004206AF">
        <w:rPr>
          <w:rFonts w:asciiTheme="minorHAnsi" w:eastAsia="Times New Roman" w:hAnsiTheme="minorHAnsi" w:cstheme="minorHAnsi"/>
          <w:color w:val="000000"/>
          <w:sz w:val="22"/>
          <w:szCs w:val="22"/>
        </w:rPr>
        <w:t xml:space="preserve"> The Plan has failed to demonstrate </w:t>
      </w:r>
      <w:r w:rsidR="005E59D0" w:rsidRPr="004206AF">
        <w:rPr>
          <w:rFonts w:asciiTheme="minorHAnsi" w:eastAsia="Times New Roman" w:hAnsiTheme="minorHAnsi" w:cstheme="minorHAnsi"/>
          <w:color w:val="000000"/>
          <w:sz w:val="22"/>
          <w:szCs w:val="22"/>
        </w:rPr>
        <w:t xml:space="preserve">what </w:t>
      </w:r>
      <w:r w:rsidR="00316422" w:rsidRPr="004206AF">
        <w:rPr>
          <w:rFonts w:asciiTheme="minorHAnsi" w:eastAsia="Times New Roman" w:hAnsiTheme="minorHAnsi" w:cstheme="minorHAnsi"/>
          <w:color w:val="000000"/>
          <w:sz w:val="22"/>
          <w:szCs w:val="22"/>
        </w:rPr>
        <w:t>SCDC</w:t>
      </w:r>
      <w:r w:rsidR="005E59D0" w:rsidRPr="004206AF">
        <w:rPr>
          <w:rFonts w:asciiTheme="minorHAnsi" w:eastAsia="Times New Roman" w:hAnsiTheme="minorHAnsi" w:cstheme="minorHAnsi"/>
          <w:color w:val="000000"/>
          <w:sz w:val="22"/>
          <w:szCs w:val="22"/>
        </w:rPr>
        <w:t xml:space="preserve"> propose do</w:t>
      </w:r>
      <w:r w:rsidR="00316422" w:rsidRPr="004206AF">
        <w:rPr>
          <w:rFonts w:asciiTheme="minorHAnsi" w:eastAsia="Times New Roman" w:hAnsiTheme="minorHAnsi" w:cstheme="minorHAnsi"/>
          <w:color w:val="000000"/>
          <w:sz w:val="22"/>
          <w:szCs w:val="22"/>
        </w:rPr>
        <w:t>ing</w:t>
      </w:r>
      <w:r w:rsidR="005E59D0" w:rsidRPr="004206AF">
        <w:rPr>
          <w:rFonts w:asciiTheme="minorHAnsi" w:eastAsia="Times New Roman" w:hAnsiTheme="minorHAnsi" w:cstheme="minorHAnsi"/>
          <w:color w:val="000000"/>
          <w:sz w:val="22"/>
          <w:szCs w:val="22"/>
        </w:rPr>
        <w:t xml:space="preserve"> to enhance the community in terms of infrastructure</w:t>
      </w:r>
      <w:r w:rsidR="00316422" w:rsidRPr="004206AF">
        <w:rPr>
          <w:rFonts w:asciiTheme="minorHAnsi" w:eastAsia="Times New Roman" w:hAnsiTheme="minorHAnsi" w:cstheme="minorHAnsi"/>
          <w:color w:val="000000"/>
          <w:sz w:val="22"/>
          <w:szCs w:val="22"/>
        </w:rPr>
        <w:t>,</w:t>
      </w:r>
      <w:r w:rsidR="005E59D0" w:rsidRPr="004206AF">
        <w:rPr>
          <w:rFonts w:asciiTheme="minorHAnsi" w:eastAsia="Times New Roman" w:hAnsiTheme="minorHAnsi" w:cstheme="minorHAnsi"/>
          <w:color w:val="000000"/>
          <w:sz w:val="22"/>
          <w:szCs w:val="22"/>
        </w:rPr>
        <w:t xml:space="preserve"> in particular </w:t>
      </w:r>
      <w:proofErr w:type="gramStart"/>
      <w:r w:rsidR="005E59D0" w:rsidRPr="004206AF">
        <w:rPr>
          <w:rFonts w:asciiTheme="minorHAnsi" w:eastAsia="Times New Roman" w:hAnsiTheme="minorHAnsi" w:cstheme="minorHAnsi"/>
          <w:color w:val="000000"/>
          <w:sz w:val="22"/>
          <w:szCs w:val="22"/>
        </w:rPr>
        <w:t>as a consequence of</w:t>
      </w:r>
      <w:proofErr w:type="gramEnd"/>
      <w:r w:rsidR="005E59D0" w:rsidRPr="004206AF">
        <w:rPr>
          <w:rFonts w:asciiTheme="minorHAnsi" w:eastAsia="Times New Roman" w:hAnsiTheme="minorHAnsi" w:cstheme="minorHAnsi"/>
          <w:color w:val="000000"/>
          <w:sz w:val="22"/>
          <w:szCs w:val="22"/>
        </w:rPr>
        <w:t xml:space="preserve"> the cumulative effect of the new housing. The Plan is therefore not sustainable and is unsound. </w:t>
      </w:r>
    </w:p>
    <w:p w14:paraId="57843D5F" w14:textId="77777777" w:rsidR="00C24C49" w:rsidRPr="004206AF" w:rsidRDefault="00C24C49" w:rsidP="00C24C49">
      <w:pPr>
        <w:pStyle w:val="ydpe06a94aayiv4884094150msoplaintext"/>
        <w:ind w:left="720"/>
        <w:contextualSpacing/>
        <w:jc w:val="both"/>
        <w:rPr>
          <w:rFonts w:asciiTheme="minorHAnsi" w:hAnsiTheme="minorHAnsi" w:cstheme="minorHAnsi"/>
          <w:color w:val="26282A"/>
          <w:sz w:val="22"/>
          <w:szCs w:val="22"/>
          <w:lang w:val="en-US"/>
        </w:rPr>
      </w:pPr>
    </w:p>
    <w:p w14:paraId="07335742" w14:textId="77777777" w:rsidR="001C308F" w:rsidRPr="004206AF" w:rsidRDefault="001C308F" w:rsidP="00627BA1">
      <w:pPr>
        <w:pStyle w:val="ydpe06a94aayiv4884094150msoplaintext"/>
        <w:numPr>
          <w:ilvl w:val="0"/>
          <w:numId w:val="1"/>
        </w:numPr>
        <w:contextualSpacing/>
        <w:jc w:val="both"/>
        <w:rPr>
          <w:rFonts w:ascii="Calibri" w:hAnsi="Calibri" w:cs="Calibri"/>
          <w:color w:val="26282A"/>
          <w:sz w:val="22"/>
          <w:szCs w:val="22"/>
          <w:lang w:val="en-US"/>
        </w:rPr>
      </w:pPr>
      <w:r w:rsidRPr="004206AF">
        <w:rPr>
          <w:rFonts w:asciiTheme="minorHAnsi" w:hAnsiTheme="minorHAnsi" w:cstheme="minorHAnsi"/>
          <w:color w:val="26282A"/>
          <w:sz w:val="22"/>
          <w:szCs w:val="22"/>
          <w:lang w:val="en-US"/>
        </w:rPr>
        <w:t xml:space="preserve">In respect of ‘settlement hierarchy’, it is understood the </w:t>
      </w:r>
      <w:r w:rsidR="00AF4767" w:rsidRPr="004206AF">
        <w:rPr>
          <w:rFonts w:asciiTheme="minorHAnsi" w:hAnsiTheme="minorHAnsi" w:cstheme="minorHAnsi"/>
          <w:color w:val="26282A"/>
          <w:sz w:val="22"/>
          <w:szCs w:val="22"/>
          <w:lang w:val="en-US"/>
        </w:rPr>
        <w:t xml:space="preserve">designation of ‘Large Village’ </w:t>
      </w:r>
      <w:r w:rsidRPr="004206AF">
        <w:rPr>
          <w:rFonts w:asciiTheme="minorHAnsi" w:hAnsiTheme="minorHAnsi" w:cstheme="minorHAnsi"/>
          <w:color w:val="26282A"/>
          <w:sz w:val="22"/>
          <w:szCs w:val="22"/>
          <w:lang w:val="en-US"/>
        </w:rPr>
        <w:t>is a matter of judgement</w:t>
      </w:r>
      <w:r w:rsidRPr="004206AF">
        <w:rPr>
          <w:rFonts w:ascii="Calibri" w:hAnsi="Calibri" w:cs="Calibri"/>
          <w:color w:val="26282A"/>
          <w:sz w:val="22"/>
          <w:szCs w:val="22"/>
          <w:lang w:val="en-US"/>
        </w:rPr>
        <w:t xml:space="preserve"> for the Inspector. Trimley St Martin and Trimley St Mary were formerly deemed ‘Key Service </w:t>
      </w:r>
      <w:proofErr w:type="spellStart"/>
      <w:r w:rsidRPr="004206AF">
        <w:rPr>
          <w:rFonts w:ascii="Calibri" w:hAnsi="Calibri" w:cs="Calibri"/>
          <w:color w:val="26282A"/>
          <w:sz w:val="22"/>
          <w:szCs w:val="22"/>
          <w:lang w:val="en-US"/>
        </w:rPr>
        <w:t>Centres’</w:t>
      </w:r>
      <w:proofErr w:type="spellEnd"/>
      <w:r w:rsidRPr="004206AF">
        <w:rPr>
          <w:rFonts w:ascii="Calibri" w:hAnsi="Calibri" w:cs="Calibri"/>
          <w:color w:val="26282A"/>
          <w:sz w:val="22"/>
          <w:szCs w:val="22"/>
          <w:lang w:val="en-US"/>
        </w:rPr>
        <w:t xml:space="preserve"> as they attracted four of the five relevant criteria. As ‘Key Service </w:t>
      </w:r>
      <w:proofErr w:type="spellStart"/>
      <w:r w:rsidRPr="004206AF">
        <w:rPr>
          <w:rFonts w:ascii="Calibri" w:hAnsi="Calibri" w:cs="Calibri"/>
          <w:color w:val="26282A"/>
          <w:sz w:val="22"/>
          <w:szCs w:val="22"/>
          <w:lang w:val="en-US"/>
        </w:rPr>
        <w:t>Centres</w:t>
      </w:r>
      <w:proofErr w:type="spellEnd"/>
      <w:r w:rsidRPr="004206AF">
        <w:rPr>
          <w:rFonts w:ascii="Calibri" w:hAnsi="Calibri" w:cs="Calibri"/>
          <w:color w:val="26282A"/>
          <w:sz w:val="22"/>
          <w:szCs w:val="22"/>
          <w:lang w:val="en-US"/>
        </w:rPr>
        <w:t>’, they would not have attracted the current level of proposed housing development.</w:t>
      </w:r>
    </w:p>
    <w:p w14:paraId="57A7281C" w14:textId="77777777" w:rsidR="001C308F" w:rsidRPr="004206AF" w:rsidRDefault="001C308F" w:rsidP="001C308F">
      <w:pPr>
        <w:pStyle w:val="ydpe06a94aayiv4884094150msoplaintext"/>
        <w:ind w:left="720"/>
        <w:contextualSpacing/>
        <w:jc w:val="both"/>
        <w:rPr>
          <w:rFonts w:ascii="Calibri" w:hAnsi="Calibri" w:cs="Calibri"/>
          <w:color w:val="26282A"/>
          <w:sz w:val="22"/>
          <w:szCs w:val="22"/>
          <w:lang w:val="en-US"/>
        </w:rPr>
      </w:pPr>
    </w:p>
    <w:p w14:paraId="42BAAFA9" w14:textId="77777777" w:rsidR="001414B8" w:rsidRPr="004206AF" w:rsidRDefault="00983B8C" w:rsidP="001414B8">
      <w:pPr>
        <w:pStyle w:val="ydpe06a94aayiv4884094150msoplaintext"/>
        <w:numPr>
          <w:ilvl w:val="0"/>
          <w:numId w:val="1"/>
        </w:numPr>
        <w:contextualSpacing/>
        <w:jc w:val="both"/>
        <w:rPr>
          <w:rFonts w:ascii="Calibri" w:hAnsi="Calibri" w:cs="Calibri"/>
          <w:color w:val="26282A"/>
          <w:sz w:val="22"/>
          <w:szCs w:val="22"/>
          <w:lang w:val="en-US"/>
        </w:rPr>
      </w:pPr>
      <w:r w:rsidRPr="004206AF">
        <w:rPr>
          <w:rFonts w:ascii="Calibri" w:hAnsi="Calibri" w:cs="Calibri"/>
          <w:color w:val="26282A"/>
          <w:sz w:val="22"/>
          <w:szCs w:val="22"/>
          <w:lang w:val="en-US"/>
        </w:rPr>
        <w:t>According to ‘footnote 17 – page 39 of The Plan, the basis upon which SCDC have focused the large allocations is because of what is defined as ‘the strong functionality relationship’ between the villages and the adjacent town</w:t>
      </w:r>
      <w:r w:rsidR="00511017" w:rsidRPr="004206AF">
        <w:rPr>
          <w:rFonts w:ascii="Calibri" w:hAnsi="Calibri" w:cs="Calibri"/>
          <w:color w:val="26282A"/>
          <w:sz w:val="22"/>
          <w:szCs w:val="22"/>
          <w:lang w:val="en-US"/>
        </w:rPr>
        <w:t>.</w:t>
      </w:r>
    </w:p>
    <w:p w14:paraId="0EF1B90B" w14:textId="518A7C04" w:rsidR="00914838" w:rsidRDefault="00BE1D77" w:rsidP="00BE1D77">
      <w:pPr>
        <w:pStyle w:val="NormalWeb"/>
        <w:numPr>
          <w:ilvl w:val="0"/>
          <w:numId w:val="1"/>
        </w:numPr>
        <w:shd w:val="clear" w:color="auto" w:fill="FFFFFF"/>
        <w:spacing w:before="120" w:beforeAutospacing="0" w:after="120" w:afterAutospacing="0" w:line="304" w:lineRule="atLeast"/>
        <w:rPr>
          <w:rFonts w:ascii="Calibri" w:hAnsi="Calibri" w:cs="Arial"/>
          <w:color w:val="222222"/>
          <w:sz w:val="22"/>
          <w:szCs w:val="22"/>
        </w:rPr>
      </w:pPr>
      <w:r w:rsidRPr="004206AF">
        <w:rPr>
          <w:rFonts w:ascii="Calibri" w:hAnsi="Calibri" w:cs="Arial"/>
          <w:color w:val="222222"/>
          <w:sz w:val="22"/>
          <w:szCs w:val="22"/>
          <w:shd w:val="clear" w:color="auto" w:fill="FFFFFF"/>
        </w:rPr>
        <w:t xml:space="preserve"> According to Wikipedia the Doomsday Book entries for Trimley St Martin and St Mary show there have been </w:t>
      </w:r>
      <w:proofErr w:type="gramStart"/>
      <w:r w:rsidRPr="004206AF">
        <w:rPr>
          <w:rFonts w:ascii="Calibri" w:hAnsi="Calibri" w:cs="Arial"/>
          <w:color w:val="222222"/>
          <w:sz w:val="22"/>
          <w:szCs w:val="22"/>
          <w:shd w:val="clear" w:color="auto" w:fill="FFFFFF"/>
        </w:rPr>
        <w:t>a</w:t>
      </w:r>
      <w:r w:rsidRPr="00BE1D77">
        <w:rPr>
          <w:rFonts w:ascii="Calibri" w:hAnsi="Calibri" w:cs="Arial"/>
          <w:color w:val="222222"/>
          <w:sz w:val="22"/>
          <w:szCs w:val="22"/>
          <w:shd w:val="clear" w:color="auto" w:fill="FFFFFF"/>
        </w:rPr>
        <w:t xml:space="preserve"> number of</w:t>
      </w:r>
      <w:proofErr w:type="gramEnd"/>
      <w:r w:rsidRPr="00BE1D77">
        <w:rPr>
          <w:rFonts w:ascii="Calibri" w:hAnsi="Calibri" w:cs="Arial"/>
          <w:color w:val="222222"/>
          <w:sz w:val="22"/>
          <w:szCs w:val="22"/>
          <w:shd w:val="clear" w:color="auto" w:fill="FFFFFF"/>
        </w:rPr>
        <w:t xml:space="preserve"> farms and households in the area.</w:t>
      </w:r>
      <w:r>
        <w:rPr>
          <w:rFonts w:ascii="Calibri" w:hAnsi="Calibri" w:cs="Arial"/>
          <w:color w:val="222222"/>
          <w:sz w:val="22"/>
          <w:szCs w:val="22"/>
          <w:shd w:val="clear" w:color="auto" w:fill="FFFFFF"/>
        </w:rPr>
        <w:t xml:space="preserve"> </w:t>
      </w:r>
      <w:r w:rsidRPr="00BE1D77">
        <w:rPr>
          <w:rFonts w:ascii="Calibri" w:hAnsi="Calibri" w:cs="Arial"/>
          <w:color w:val="222222"/>
          <w:sz w:val="22"/>
          <w:szCs w:val="22"/>
        </w:rPr>
        <w:t xml:space="preserve"> </w:t>
      </w:r>
      <w:r w:rsidR="001414B8" w:rsidRPr="00BE1D77">
        <w:rPr>
          <w:rFonts w:ascii="Calibri" w:hAnsi="Calibri" w:cs="Arial"/>
          <w:color w:val="222222"/>
          <w:sz w:val="22"/>
          <w:szCs w:val="22"/>
        </w:rPr>
        <w:t xml:space="preserve">Archaeological findings in the Hams Farm area (Kirton/Trimley St Martin) show evidence of prehistoric, Roman, Anglo-Saxon and late post-medieval working. </w:t>
      </w:r>
    </w:p>
    <w:p w14:paraId="7CD0CE1F" w14:textId="77777777" w:rsidR="002E7A40" w:rsidRDefault="001414B8" w:rsidP="002E7A40">
      <w:pPr>
        <w:pStyle w:val="NormalWeb"/>
        <w:numPr>
          <w:ilvl w:val="0"/>
          <w:numId w:val="1"/>
        </w:numPr>
        <w:shd w:val="clear" w:color="auto" w:fill="FFFFFF"/>
        <w:spacing w:before="120" w:beforeAutospacing="0" w:after="120" w:afterAutospacing="0" w:line="304" w:lineRule="atLeast"/>
        <w:rPr>
          <w:rFonts w:ascii="Calibri" w:hAnsi="Calibri" w:cs="Arial"/>
          <w:color w:val="222222"/>
          <w:sz w:val="22"/>
          <w:szCs w:val="22"/>
        </w:rPr>
      </w:pPr>
      <w:r w:rsidRPr="00BE1D77">
        <w:rPr>
          <w:rFonts w:ascii="Calibri" w:hAnsi="Calibri" w:cs="Arial"/>
          <w:color w:val="222222"/>
          <w:sz w:val="22"/>
          <w:szCs w:val="22"/>
        </w:rPr>
        <w:t xml:space="preserve">In nearby Walton archaeological findings show evidence of Bronze Age field systems in use. </w:t>
      </w:r>
      <w:r w:rsidR="00B63DB4" w:rsidRPr="00BE1D77">
        <w:rPr>
          <w:rFonts w:ascii="Calibri" w:hAnsi="Calibri" w:cs="Arial"/>
          <w:color w:val="222222"/>
          <w:sz w:val="22"/>
          <w:szCs w:val="22"/>
        </w:rPr>
        <w:t xml:space="preserve">The High Road through the </w:t>
      </w:r>
      <w:proofErr w:type="spellStart"/>
      <w:r w:rsidR="00B63DB4" w:rsidRPr="00BE1D77">
        <w:rPr>
          <w:rFonts w:ascii="Calibri" w:hAnsi="Calibri" w:cs="Arial"/>
          <w:color w:val="222222"/>
          <w:sz w:val="22"/>
          <w:szCs w:val="22"/>
        </w:rPr>
        <w:t>Trimleys</w:t>
      </w:r>
      <w:proofErr w:type="spellEnd"/>
      <w:r w:rsidR="00B63DB4" w:rsidRPr="00BE1D77">
        <w:rPr>
          <w:rFonts w:ascii="Calibri" w:hAnsi="Calibri" w:cs="Arial"/>
          <w:color w:val="222222"/>
          <w:sz w:val="22"/>
          <w:szCs w:val="22"/>
        </w:rPr>
        <w:t xml:space="preserve"> and Walton follows the line of the former Roman Road through Trimley St Martin </w:t>
      </w:r>
      <w:r w:rsidR="00914838">
        <w:rPr>
          <w:rFonts w:ascii="Calibri" w:hAnsi="Calibri" w:cs="Arial"/>
          <w:color w:val="222222"/>
          <w:sz w:val="22"/>
          <w:szCs w:val="22"/>
        </w:rPr>
        <w:t xml:space="preserve">that linked </w:t>
      </w:r>
      <w:r w:rsidR="00BE1D77">
        <w:rPr>
          <w:rFonts w:ascii="Calibri" w:hAnsi="Calibri" w:cs="Arial"/>
          <w:color w:val="222222"/>
          <w:sz w:val="22"/>
          <w:szCs w:val="22"/>
        </w:rPr>
        <w:t xml:space="preserve">with the </w:t>
      </w:r>
      <w:r w:rsidRPr="00BE1D77">
        <w:rPr>
          <w:rFonts w:ascii="Calibri" w:hAnsi="Calibri" w:cs="Arial"/>
          <w:color w:val="222222"/>
          <w:sz w:val="22"/>
          <w:szCs w:val="22"/>
        </w:rPr>
        <w:t>Roman fort of Walton</w:t>
      </w:r>
      <w:r w:rsidR="001E375B">
        <w:rPr>
          <w:rFonts w:ascii="Calibri" w:hAnsi="Calibri" w:cs="Arial"/>
          <w:color w:val="222222"/>
          <w:sz w:val="22"/>
          <w:szCs w:val="22"/>
        </w:rPr>
        <w:t>,</w:t>
      </w:r>
      <w:r w:rsidR="00914838">
        <w:rPr>
          <w:rFonts w:ascii="Calibri" w:hAnsi="Calibri" w:cs="Arial"/>
          <w:color w:val="222222"/>
          <w:sz w:val="22"/>
          <w:szCs w:val="22"/>
        </w:rPr>
        <w:t xml:space="preserve"> which was destroyed through coastal erosion in</w:t>
      </w:r>
      <w:r w:rsidR="002E7A40">
        <w:rPr>
          <w:rFonts w:ascii="Calibri" w:hAnsi="Calibri" w:cs="Arial"/>
          <w:color w:val="222222"/>
          <w:sz w:val="22"/>
          <w:szCs w:val="22"/>
        </w:rPr>
        <w:t xml:space="preserve"> the</w:t>
      </w:r>
      <w:r w:rsidR="00914838">
        <w:rPr>
          <w:rFonts w:ascii="Calibri" w:hAnsi="Calibri" w:cs="Arial"/>
          <w:color w:val="222222"/>
          <w:sz w:val="22"/>
          <w:szCs w:val="22"/>
        </w:rPr>
        <w:t xml:space="preserve"> 18</w:t>
      </w:r>
      <w:r w:rsidR="00914838" w:rsidRPr="00914838">
        <w:rPr>
          <w:rFonts w:ascii="Calibri" w:hAnsi="Calibri" w:cs="Arial"/>
          <w:color w:val="222222"/>
          <w:sz w:val="22"/>
          <w:szCs w:val="22"/>
          <w:vertAlign w:val="superscript"/>
        </w:rPr>
        <w:t>th</w:t>
      </w:r>
      <w:r w:rsidR="00914838">
        <w:rPr>
          <w:rFonts w:ascii="Calibri" w:hAnsi="Calibri" w:cs="Arial"/>
          <w:color w:val="222222"/>
          <w:sz w:val="22"/>
          <w:szCs w:val="22"/>
        </w:rPr>
        <w:t xml:space="preserve"> century</w:t>
      </w:r>
      <w:r w:rsidR="00FF70FC">
        <w:rPr>
          <w:rFonts w:ascii="Calibri" w:hAnsi="Calibri" w:cs="Arial"/>
          <w:color w:val="222222"/>
          <w:sz w:val="22"/>
          <w:szCs w:val="22"/>
        </w:rPr>
        <w:t>.</w:t>
      </w:r>
    </w:p>
    <w:p w14:paraId="28884B67" w14:textId="77777777" w:rsidR="002E7A40" w:rsidRDefault="00BE1D77" w:rsidP="002E7A40">
      <w:pPr>
        <w:pStyle w:val="NormalWeb"/>
        <w:numPr>
          <w:ilvl w:val="0"/>
          <w:numId w:val="1"/>
        </w:numPr>
        <w:shd w:val="clear" w:color="auto" w:fill="FFFFFF"/>
        <w:spacing w:before="120" w:beforeAutospacing="0" w:after="120" w:afterAutospacing="0" w:line="304" w:lineRule="atLeast"/>
        <w:rPr>
          <w:rFonts w:ascii="Calibri" w:hAnsi="Calibri" w:cs="Arial"/>
          <w:color w:val="222222"/>
          <w:sz w:val="22"/>
          <w:szCs w:val="22"/>
        </w:rPr>
      </w:pPr>
      <w:r w:rsidRPr="002E7A40">
        <w:rPr>
          <w:rFonts w:ascii="Calibri" w:hAnsi="Calibri" w:cs="Arial"/>
          <w:color w:val="222222"/>
          <w:sz w:val="22"/>
          <w:szCs w:val="22"/>
        </w:rPr>
        <w:t xml:space="preserve">In </w:t>
      </w:r>
      <w:r w:rsidR="001414B8" w:rsidRPr="002E7A40">
        <w:rPr>
          <w:rFonts w:ascii="Calibri" w:hAnsi="Calibri" w:cs="Arial"/>
          <w:color w:val="222222"/>
          <w:sz w:val="22"/>
          <w:szCs w:val="22"/>
        </w:rPr>
        <w:t>the</w:t>
      </w:r>
      <w:r w:rsidR="00B63DB4" w:rsidRPr="002E7A40">
        <w:rPr>
          <w:rFonts w:ascii="Calibri" w:hAnsi="Calibri" w:cs="Arial"/>
          <w:color w:val="222222"/>
          <w:sz w:val="22"/>
          <w:szCs w:val="22"/>
        </w:rPr>
        <w:t xml:space="preserve"> Middle Ages</w:t>
      </w:r>
      <w:r w:rsidR="001414B8" w:rsidRPr="002E7A40">
        <w:rPr>
          <w:rStyle w:val="apple-converted-space"/>
          <w:rFonts w:ascii="Calibri" w:hAnsi="Calibri" w:cs="Arial"/>
          <w:color w:val="222222"/>
          <w:sz w:val="22"/>
          <w:szCs w:val="22"/>
        </w:rPr>
        <w:t> </w:t>
      </w:r>
      <w:r w:rsidR="001414B8" w:rsidRPr="002E7A40">
        <w:rPr>
          <w:rFonts w:ascii="Calibri" w:hAnsi="Calibri" w:cs="Arial"/>
          <w:color w:val="222222"/>
          <w:sz w:val="22"/>
          <w:szCs w:val="22"/>
        </w:rPr>
        <w:t>this area was often invaded, overrun, settled and populated by a variet</w:t>
      </w:r>
      <w:r w:rsidR="00B63DB4" w:rsidRPr="002E7A40">
        <w:rPr>
          <w:rFonts w:ascii="Calibri" w:hAnsi="Calibri" w:cs="Arial"/>
          <w:color w:val="222222"/>
          <w:sz w:val="22"/>
          <w:szCs w:val="22"/>
        </w:rPr>
        <w:t xml:space="preserve">y of Scandinavian plunderers. </w:t>
      </w:r>
      <w:r w:rsidRPr="002E7A40">
        <w:rPr>
          <w:rFonts w:ascii="Calibri" w:hAnsi="Calibri" w:cs="Arial"/>
          <w:color w:val="222222"/>
          <w:sz w:val="22"/>
          <w:szCs w:val="22"/>
        </w:rPr>
        <w:t>During the 18</w:t>
      </w:r>
      <w:r w:rsidRPr="002E7A40">
        <w:rPr>
          <w:rFonts w:ascii="Calibri" w:hAnsi="Calibri" w:cs="Arial"/>
          <w:color w:val="222222"/>
          <w:sz w:val="22"/>
          <w:szCs w:val="22"/>
          <w:vertAlign w:val="superscript"/>
        </w:rPr>
        <w:t>th</w:t>
      </w:r>
      <w:r w:rsidRPr="002E7A40">
        <w:rPr>
          <w:rFonts w:ascii="Calibri" w:hAnsi="Calibri" w:cs="Arial"/>
          <w:color w:val="222222"/>
          <w:sz w:val="22"/>
          <w:szCs w:val="22"/>
        </w:rPr>
        <w:t xml:space="preserve"> century Felixstowe became an emerging seaside destination for the wealthy and </w:t>
      </w:r>
      <w:r w:rsidR="00914838" w:rsidRPr="002E7A40">
        <w:rPr>
          <w:rFonts w:ascii="Calibri" w:hAnsi="Calibri" w:cs="Arial"/>
          <w:color w:val="222222"/>
          <w:sz w:val="22"/>
          <w:szCs w:val="22"/>
        </w:rPr>
        <w:t xml:space="preserve">was </w:t>
      </w:r>
      <w:r w:rsidRPr="002E7A40">
        <w:rPr>
          <w:rFonts w:ascii="Calibri" w:hAnsi="Calibri" w:cs="Arial"/>
          <w:color w:val="222222"/>
          <w:sz w:val="22"/>
          <w:szCs w:val="22"/>
        </w:rPr>
        <w:t xml:space="preserve">also a significant defence port </w:t>
      </w:r>
      <w:r w:rsidR="00914838" w:rsidRPr="002E7A40">
        <w:rPr>
          <w:rFonts w:ascii="Calibri" w:hAnsi="Calibri" w:cs="Arial"/>
          <w:color w:val="222222"/>
          <w:sz w:val="22"/>
          <w:szCs w:val="22"/>
        </w:rPr>
        <w:t xml:space="preserve">during Napoleonic times </w:t>
      </w:r>
      <w:r w:rsidRPr="002E7A40">
        <w:rPr>
          <w:rFonts w:ascii="Calibri" w:hAnsi="Calibri" w:cs="Arial"/>
          <w:color w:val="222222"/>
          <w:sz w:val="22"/>
          <w:szCs w:val="22"/>
        </w:rPr>
        <w:t xml:space="preserve">and later hosting </w:t>
      </w:r>
      <w:r w:rsidR="00FF70FC" w:rsidRPr="002E7A40">
        <w:rPr>
          <w:rFonts w:ascii="Calibri" w:hAnsi="Calibri" w:cs="Arial"/>
          <w:color w:val="222222"/>
          <w:sz w:val="22"/>
          <w:szCs w:val="22"/>
        </w:rPr>
        <w:t>a seaplane base that was operational during the 1</w:t>
      </w:r>
      <w:r w:rsidR="00FF70FC" w:rsidRPr="002E7A40">
        <w:rPr>
          <w:rFonts w:ascii="Calibri" w:hAnsi="Calibri" w:cs="Arial"/>
          <w:color w:val="222222"/>
          <w:sz w:val="22"/>
          <w:szCs w:val="22"/>
          <w:vertAlign w:val="superscript"/>
        </w:rPr>
        <w:t>st</w:t>
      </w:r>
      <w:r w:rsidR="00FF70FC" w:rsidRPr="002E7A40">
        <w:rPr>
          <w:rFonts w:ascii="Calibri" w:hAnsi="Calibri" w:cs="Arial"/>
          <w:color w:val="222222"/>
          <w:sz w:val="22"/>
          <w:szCs w:val="22"/>
        </w:rPr>
        <w:t xml:space="preserve"> World War</w:t>
      </w:r>
    </w:p>
    <w:p w14:paraId="03EAC94F" w14:textId="657A868A" w:rsidR="00C76657" w:rsidRPr="002E7A40" w:rsidRDefault="00736DA7" w:rsidP="002E7A40">
      <w:pPr>
        <w:pStyle w:val="NormalWeb"/>
        <w:numPr>
          <w:ilvl w:val="0"/>
          <w:numId w:val="1"/>
        </w:numPr>
        <w:shd w:val="clear" w:color="auto" w:fill="FFFFFF"/>
        <w:spacing w:before="120" w:beforeAutospacing="0" w:after="120" w:afterAutospacing="0" w:line="304" w:lineRule="atLeast"/>
        <w:rPr>
          <w:rFonts w:asciiTheme="minorHAnsi" w:hAnsiTheme="minorHAnsi" w:cstheme="minorHAnsi"/>
          <w:color w:val="222222"/>
          <w:sz w:val="22"/>
          <w:szCs w:val="22"/>
        </w:rPr>
      </w:pPr>
      <w:r w:rsidRPr="002E7A40">
        <w:rPr>
          <w:rFonts w:asciiTheme="minorHAnsi" w:hAnsiTheme="minorHAnsi" w:cstheme="minorHAnsi"/>
          <w:sz w:val="22"/>
          <w:szCs w:val="22"/>
        </w:rPr>
        <w:t xml:space="preserve">In the 1800’s Trimley St Martin was mined for coprolite, such is the fertile richness of the soil. </w:t>
      </w:r>
      <w:r w:rsidR="00FF70FC" w:rsidRPr="002E7A40">
        <w:rPr>
          <w:rFonts w:asciiTheme="minorHAnsi" w:hAnsiTheme="minorHAnsi" w:cstheme="minorHAnsi"/>
          <w:sz w:val="22"/>
          <w:szCs w:val="22"/>
          <w:shd w:val="clear" w:color="auto" w:fill="FFFFFF"/>
        </w:rPr>
        <w:t xml:space="preserve">During the 1950’s Felixstowe Docks were regenerated. They became the only independent dock in the UK and were therefore </w:t>
      </w:r>
      <w:r w:rsidR="00C76657" w:rsidRPr="002E7A40">
        <w:rPr>
          <w:rFonts w:asciiTheme="minorHAnsi" w:hAnsiTheme="minorHAnsi" w:cstheme="minorHAnsi"/>
          <w:sz w:val="22"/>
          <w:szCs w:val="22"/>
          <w:shd w:val="clear" w:color="auto" w:fill="FFFFFF"/>
        </w:rPr>
        <w:t xml:space="preserve">largely </w:t>
      </w:r>
      <w:r w:rsidR="00FF70FC" w:rsidRPr="002E7A40">
        <w:rPr>
          <w:rFonts w:asciiTheme="minorHAnsi" w:hAnsiTheme="minorHAnsi" w:cstheme="minorHAnsi"/>
          <w:sz w:val="22"/>
          <w:szCs w:val="22"/>
          <w:shd w:val="clear" w:color="auto" w:fill="FFFFFF"/>
        </w:rPr>
        <w:t>free from industrial strife</w:t>
      </w:r>
      <w:r w:rsidR="00C76657" w:rsidRPr="002E7A40">
        <w:rPr>
          <w:rFonts w:asciiTheme="minorHAnsi" w:hAnsiTheme="minorHAnsi" w:cstheme="minorHAnsi"/>
          <w:sz w:val="22"/>
          <w:szCs w:val="22"/>
          <w:shd w:val="clear" w:color="auto" w:fill="FFFFFF"/>
        </w:rPr>
        <w:t xml:space="preserve">. During the 60’s manpower migrated from the land </w:t>
      </w:r>
      <w:proofErr w:type="gramStart"/>
      <w:r w:rsidR="00C76657" w:rsidRPr="002E7A40">
        <w:rPr>
          <w:rFonts w:asciiTheme="minorHAnsi" w:hAnsiTheme="minorHAnsi" w:cstheme="minorHAnsi"/>
          <w:sz w:val="22"/>
          <w:szCs w:val="22"/>
          <w:shd w:val="clear" w:color="auto" w:fill="FFFFFF"/>
        </w:rPr>
        <w:t>as a consequence of</w:t>
      </w:r>
      <w:proofErr w:type="gramEnd"/>
      <w:r w:rsidR="00C76657" w:rsidRPr="002E7A40">
        <w:rPr>
          <w:rFonts w:asciiTheme="minorHAnsi" w:hAnsiTheme="minorHAnsi" w:cstheme="minorHAnsi"/>
          <w:sz w:val="22"/>
          <w:szCs w:val="22"/>
          <w:shd w:val="clear" w:color="auto" w:fill="FFFFFF"/>
        </w:rPr>
        <w:t xml:space="preserve"> intensive farming processes, many of whom were local residents, to the docks leading to an expansion in labour force.  It was the pre-eminence of the docks that kept people in the area.</w:t>
      </w:r>
    </w:p>
    <w:p w14:paraId="6139A042" w14:textId="77777777" w:rsidR="00C76657" w:rsidRPr="002E7A40" w:rsidRDefault="00C76657" w:rsidP="00914838">
      <w:pPr>
        <w:pStyle w:val="NormalWeb"/>
        <w:numPr>
          <w:ilvl w:val="0"/>
          <w:numId w:val="1"/>
        </w:numPr>
        <w:shd w:val="clear" w:color="auto" w:fill="FFFFFF"/>
        <w:spacing w:before="120" w:beforeAutospacing="0" w:after="120" w:afterAutospacing="0" w:line="304" w:lineRule="atLeast"/>
        <w:rPr>
          <w:rFonts w:asciiTheme="minorHAnsi" w:hAnsiTheme="minorHAnsi" w:cstheme="minorHAnsi"/>
          <w:sz w:val="22"/>
          <w:szCs w:val="22"/>
        </w:rPr>
      </w:pPr>
      <w:r w:rsidRPr="002E7A40">
        <w:rPr>
          <w:rFonts w:asciiTheme="minorHAnsi" w:hAnsiTheme="minorHAnsi" w:cstheme="minorHAnsi"/>
          <w:sz w:val="22"/>
          <w:szCs w:val="22"/>
          <w:shd w:val="clear" w:color="auto" w:fill="FFFFFF"/>
        </w:rPr>
        <w:lastRenderedPageBreak/>
        <w:t xml:space="preserve">The Port became the largest container port in the UK and has prospered. In more recent times technology has advanced, automation is gradually becoming more important and </w:t>
      </w:r>
      <w:proofErr w:type="gramStart"/>
      <w:r w:rsidRPr="002E7A40">
        <w:rPr>
          <w:rFonts w:asciiTheme="minorHAnsi" w:hAnsiTheme="minorHAnsi" w:cstheme="minorHAnsi"/>
          <w:sz w:val="22"/>
          <w:szCs w:val="22"/>
          <w:shd w:val="clear" w:color="auto" w:fill="FFFFFF"/>
        </w:rPr>
        <w:t>as a consequence</w:t>
      </w:r>
      <w:proofErr w:type="gramEnd"/>
      <w:r w:rsidRPr="002E7A40">
        <w:rPr>
          <w:rFonts w:asciiTheme="minorHAnsi" w:hAnsiTheme="minorHAnsi" w:cstheme="minorHAnsi"/>
          <w:sz w:val="22"/>
          <w:szCs w:val="22"/>
          <w:shd w:val="clear" w:color="auto" w:fill="FFFFFF"/>
        </w:rPr>
        <w:t xml:space="preserve"> the workforce is declining. </w:t>
      </w:r>
    </w:p>
    <w:p w14:paraId="7AC5E588" w14:textId="7009C79D" w:rsidR="00C76657" w:rsidRPr="002E7A40" w:rsidRDefault="00C76657" w:rsidP="00914838">
      <w:pPr>
        <w:pStyle w:val="NormalWeb"/>
        <w:numPr>
          <w:ilvl w:val="0"/>
          <w:numId w:val="1"/>
        </w:numPr>
        <w:shd w:val="clear" w:color="auto" w:fill="FFFFFF"/>
        <w:spacing w:before="120" w:beforeAutospacing="0" w:after="120" w:afterAutospacing="0" w:line="304" w:lineRule="atLeast"/>
        <w:rPr>
          <w:rFonts w:asciiTheme="minorHAnsi" w:hAnsiTheme="minorHAnsi" w:cstheme="minorHAnsi"/>
          <w:sz w:val="22"/>
          <w:szCs w:val="22"/>
        </w:rPr>
      </w:pPr>
      <w:r w:rsidRPr="002E7A40">
        <w:rPr>
          <w:rFonts w:asciiTheme="minorHAnsi" w:hAnsiTheme="minorHAnsi" w:cstheme="minorHAnsi"/>
          <w:sz w:val="22"/>
          <w:szCs w:val="22"/>
          <w:shd w:val="clear" w:color="auto" w:fill="FFFFFF"/>
        </w:rPr>
        <w:t>The Port is also facing competition from Southampton. London Gateway, Liverpool and Tilbury</w:t>
      </w:r>
      <w:r w:rsidR="00A5551B" w:rsidRPr="002E7A40">
        <w:rPr>
          <w:rFonts w:asciiTheme="minorHAnsi" w:hAnsiTheme="minorHAnsi" w:cstheme="minorHAnsi"/>
          <w:sz w:val="22"/>
          <w:szCs w:val="22"/>
          <w:shd w:val="clear" w:color="auto" w:fill="FFFFFF"/>
        </w:rPr>
        <w:t>, whom</w:t>
      </w:r>
      <w:r w:rsidRPr="002E7A40">
        <w:rPr>
          <w:rFonts w:asciiTheme="minorHAnsi" w:hAnsiTheme="minorHAnsi" w:cstheme="minorHAnsi"/>
          <w:sz w:val="22"/>
          <w:szCs w:val="22"/>
          <w:shd w:val="clear" w:color="auto" w:fill="FFFFFF"/>
        </w:rPr>
        <w:t xml:space="preserve"> have recently acquired approval to double their capacity. </w:t>
      </w:r>
      <w:r w:rsidR="00A5551B" w:rsidRPr="002E7A40">
        <w:rPr>
          <w:rFonts w:asciiTheme="minorHAnsi" w:hAnsiTheme="minorHAnsi" w:cstheme="minorHAnsi"/>
          <w:sz w:val="22"/>
          <w:szCs w:val="22"/>
          <w:shd w:val="clear" w:color="auto" w:fill="FFFFFF"/>
        </w:rPr>
        <w:t>The proposal to create another link between Essex and Kent has passed the consultation phase and if implemente</w:t>
      </w:r>
      <w:r w:rsidR="00C44B11" w:rsidRPr="002E7A40">
        <w:rPr>
          <w:rFonts w:asciiTheme="minorHAnsi" w:hAnsiTheme="minorHAnsi" w:cstheme="minorHAnsi"/>
          <w:sz w:val="22"/>
          <w:szCs w:val="22"/>
          <w:shd w:val="clear" w:color="auto" w:fill="FFFFFF"/>
        </w:rPr>
        <w:t>d</w:t>
      </w:r>
      <w:r w:rsidR="009572E6">
        <w:rPr>
          <w:rFonts w:asciiTheme="minorHAnsi" w:hAnsiTheme="minorHAnsi" w:cstheme="minorHAnsi"/>
          <w:sz w:val="22"/>
          <w:szCs w:val="22"/>
          <w:shd w:val="clear" w:color="auto" w:fill="FFFFFF"/>
        </w:rPr>
        <w:t xml:space="preserve">, </w:t>
      </w:r>
      <w:r w:rsidR="00C84A09">
        <w:rPr>
          <w:rFonts w:asciiTheme="minorHAnsi" w:hAnsiTheme="minorHAnsi" w:cstheme="minorHAnsi"/>
          <w:sz w:val="22"/>
          <w:szCs w:val="22"/>
          <w:shd w:val="clear" w:color="auto" w:fill="FFFFFF"/>
        </w:rPr>
        <w:t>is likely to lead to increased</w:t>
      </w:r>
      <w:r w:rsidR="00C44B11" w:rsidRPr="002E7A40">
        <w:rPr>
          <w:rFonts w:asciiTheme="minorHAnsi" w:hAnsiTheme="minorHAnsi" w:cstheme="minorHAnsi"/>
          <w:sz w:val="22"/>
          <w:szCs w:val="22"/>
          <w:shd w:val="clear" w:color="auto" w:fill="FFFFFF"/>
        </w:rPr>
        <w:t xml:space="preserve"> activity at Tilbury and London Gateway.</w:t>
      </w:r>
    </w:p>
    <w:p w14:paraId="15037F48" w14:textId="27E6E47A" w:rsidR="0076421E" w:rsidRPr="002E7A40" w:rsidRDefault="00C44B11" w:rsidP="00914838">
      <w:pPr>
        <w:pStyle w:val="NormalWeb"/>
        <w:numPr>
          <w:ilvl w:val="0"/>
          <w:numId w:val="1"/>
        </w:numPr>
        <w:shd w:val="clear" w:color="auto" w:fill="FFFFFF"/>
        <w:spacing w:before="120" w:beforeAutospacing="0" w:after="120" w:afterAutospacing="0" w:line="304" w:lineRule="atLeast"/>
        <w:rPr>
          <w:rFonts w:asciiTheme="minorHAnsi" w:hAnsiTheme="minorHAnsi" w:cstheme="minorHAnsi"/>
          <w:sz w:val="22"/>
          <w:szCs w:val="22"/>
        </w:rPr>
      </w:pPr>
      <w:r w:rsidRPr="002E7A40">
        <w:rPr>
          <w:rFonts w:asciiTheme="minorHAnsi" w:hAnsiTheme="minorHAnsi" w:cstheme="minorHAnsi"/>
          <w:sz w:val="22"/>
          <w:szCs w:val="22"/>
          <w:shd w:val="clear" w:color="auto" w:fill="FFFFFF"/>
        </w:rPr>
        <w:t xml:space="preserve">Up to circa 2017 there was a very close connection between The </w:t>
      </w:r>
      <w:proofErr w:type="spellStart"/>
      <w:r w:rsidRPr="002E7A40">
        <w:rPr>
          <w:rFonts w:asciiTheme="minorHAnsi" w:hAnsiTheme="minorHAnsi" w:cstheme="minorHAnsi"/>
          <w:sz w:val="22"/>
          <w:szCs w:val="22"/>
          <w:shd w:val="clear" w:color="auto" w:fill="FFFFFF"/>
        </w:rPr>
        <w:t>Trimleys</w:t>
      </w:r>
      <w:proofErr w:type="spellEnd"/>
      <w:r w:rsidRPr="002E7A40">
        <w:rPr>
          <w:rFonts w:asciiTheme="minorHAnsi" w:hAnsiTheme="minorHAnsi" w:cstheme="minorHAnsi"/>
          <w:sz w:val="22"/>
          <w:szCs w:val="22"/>
          <w:shd w:val="clear" w:color="auto" w:fill="FFFFFF"/>
        </w:rPr>
        <w:t xml:space="preserve"> and The Port through </w:t>
      </w:r>
      <w:r w:rsidR="0029658F" w:rsidRPr="002E7A40">
        <w:rPr>
          <w:rFonts w:asciiTheme="minorHAnsi" w:hAnsiTheme="minorHAnsi" w:cstheme="minorHAnsi"/>
          <w:sz w:val="22"/>
          <w:szCs w:val="22"/>
          <w:shd w:val="clear" w:color="auto" w:fill="FFFFFF"/>
        </w:rPr>
        <w:t xml:space="preserve">local </w:t>
      </w:r>
      <w:r w:rsidRPr="002E7A40">
        <w:rPr>
          <w:rFonts w:asciiTheme="minorHAnsi" w:hAnsiTheme="minorHAnsi" w:cstheme="minorHAnsi"/>
          <w:sz w:val="22"/>
          <w:szCs w:val="22"/>
          <w:shd w:val="clear" w:color="auto" w:fill="FFFFFF"/>
        </w:rPr>
        <w:t xml:space="preserve">manpower </w:t>
      </w:r>
      <w:proofErr w:type="gramStart"/>
      <w:r w:rsidRPr="002E7A40">
        <w:rPr>
          <w:rFonts w:asciiTheme="minorHAnsi" w:hAnsiTheme="minorHAnsi" w:cstheme="minorHAnsi"/>
          <w:sz w:val="22"/>
          <w:szCs w:val="22"/>
          <w:shd w:val="clear" w:color="auto" w:fill="FFFFFF"/>
        </w:rPr>
        <w:t>as a consequence of</w:t>
      </w:r>
      <w:proofErr w:type="gramEnd"/>
      <w:r w:rsidRPr="002E7A40">
        <w:rPr>
          <w:rFonts w:asciiTheme="minorHAnsi" w:hAnsiTheme="minorHAnsi" w:cstheme="minorHAnsi"/>
          <w:sz w:val="22"/>
          <w:szCs w:val="22"/>
          <w:shd w:val="clear" w:color="auto" w:fill="FFFFFF"/>
        </w:rPr>
        <w:t xml:space="preserve"> the expanding port</w:t>
      </w:r>
      <w:r w:rsidR="00C4153C">
        <w:rPr>
          <w:rFonts w:asciiTheme="minorHAnsi" w:hAnsiTheme="minorHAnsi" w:cstheme="minorHAnsi"/>
          <w:sz w:val="22"/>
          <w:szCs w:val="22"/>
          <w:shd w:val="clear" w:color="auto" w:fill="FFFFFF"/>
        </w:rPr>
        <w:t xml:space="preserve"> </w:t>
      </w:r>
      <w:r w:rsidR="0029658F" w:rsidRPr="002E7A40">
        <w:rPr>
          <w:rFonts w:asciiTheme="minorHAnsi" w:hAnsiTheme="minorHAnsi" w:cstheme="minorHAnsi"/>
          <w:sz w:val="22"/>
          <w:szCs w:val="22"/>
          <w:shd w:val="clear" w:color="auto" w:fill="FFFFFF"/>
        </w:rPr>
        <w:t xml:space="preserve">and was </w:t>
      </w:r>
      <w:r w:rsidR="00126C74" w:rsidRPr="002E7A40">
        <w:rPr>
          <w:rFonts w:asciiTheme="minorHAnsi" w:hAnsiTheme="minorHAnsi" w:cstheme="minorHAnsi"/>
          <w:sz w:val="22"/>
          <w:szCs w:val="22"/>
          <w:shd w:val="clear" w:color="auto" w:fill="FFFFFF"/>
        </w:rPr>
        <w:t xml:space="preserve">supported </w:t>
      </w:r>
      <w:r w:rsidR="0029658F" w:rsidRPr="002E7A40">
        <w:rPr>
          <w:rFonts w:asciiTheme="minorHAnsi" w:hAnsiTheme="minorHAnsi" w:cstheme="minorHAnsi"/>
          <w:sz w:val="22"/>
          <w:szCs w:val="22"/>
          <w:shd w:val="clear" w:color="auto" w:fill="FFFFFF"/>
        </w:rPr>
        <w:t xml:space="preserve">through </w:t>
      </w:r>
      <w:r w:rsidR="00126C74" w:rsidRPr="002E7A40">
        <w:rPr>
          <w:rFonts w:asciiTheme="minorHAnsi" w:hAnsiTheme="minorHAnsi" w:cstheme="minorHAnsi"/>
          <w:sz w:val="22"/>
          <w:szCs w:val="22"/>
          <w:shd w:val="clear" w:color="auto" w:fill="FFFFFF"/>
        </w:rPr>
        <w:t>increased housing allocations and with a view to meet increasing needs for increased affordable housing.</w:t>
      </w:r>
      <w:r w:rsidR="0076421E" w:rsidRPr="002E7A40">
        <w:rPr>
          <w:rFonts w:asciiTheme="minorHAnsi" w:hAnsiTheme="minorHAnsi" w:cstheme="minorHAnsi"/>
          <w:sz w:val="22"/>
          <w:szCs w:val="22"/>
          <w:shd w:val="clear" w:color="auto" w:fill="FFFFFF"/>
        </w:rPr>
        <w:t xml:space="preserve"> However</w:t>
      </w:r>
      <w:r w:rsidR="000F7C16">
        <w:rPr>
          <w:rFonts w:asciiTheme="minorHAnsi" w:hAnsiTheme="minorHAnsi" w:cstheme="minorHAnsi"/>
          <w:sz w:val="22"/>
          <w:szCs w:val="22"/>
          <w:shd w:val="clear" w:color="auto" w:fill="FFFFFF"/>
        </w:rPr>
        <w:t>,</w:t>
      </w:r>
      <w:r w:rsidR="0076421E" w:rsidRPr="002E7A40">
        <w:rPr>
          <w:rFonts w:asciiTheme="minorHAnsi" w:hAnsiTheme="minorHAnsi" w:cstheme="minorHAnsi"/>
          <w:sz w:val="22"/>
          <w:szCs w:val="22"/>
          <w:shd w:val="clear" w:color="auto" w:fill="FFFFFF"/>
        </w:rPr>
        <w:t xml:space="preserve"> </w:t>
      </w:r>
      <w:r w:rsidR="00126C74" w:rsidRPr="002E7A40">
        <w:rPr>
          <w:rFonts w:asciiTheme="minorHAnsi" w:hAnsiTheme="minorHAnsi" w:cstheme="minorHAnsi"/>
          <w:sz w:val="22"/>
          <w:szCs w:val="22"/>
          <w:shd w:val="clear" w:color="auto" w:fill="FFFFFF"/>
        </w:rPr>
        <w:t xml:space="preserve">part of </w:t>
      </w:r>
      <w:r w:rsidR="0076421E" w:rsidRPr="002E7A40">
        <w:rPr>
          <w:rFonts w:asciiTheme="minorHAnsi" w:hAnsiTheme="minorHAnsi" w:cstheme="minorHAnsi"/>
          <w:sz w:val="22"/>
          <w:szCs w:val="22"/>
          <w:shd w:val="clear" w:color="auto" w:fill="FFFFFF"/>
        </w:rPr>
        <w:t xml:space="preserve">that premise </w:t>
      </w:r>
      <w:r w:rsidR="00126C74" w:rsidRPr="002E7A40">
        <w:rPr>
          <w:rFonts w:asciiTheme="minorHAnsi" w:hAnsiTheme="minorHAnsi" w:cstheme="minorHAnsi"/>
          <w:sz w:val="22"/>
          <w:szCs w:val="22"/>
          <w:shd w:val="clear" w:color="auto" w:fill="FFFFFF"/>
        </w:rPr>
        <w:t xml:space="preserve">can </w:t>
      </w:r>
      <w:r w:rsidR="0076421E" w:rsidRPr="002E7A40">
        <w:rPr>
          <w:rFonts w:asciiTheme="minorHAnsi" w:hAnsiTheme="minorHAnsi" w:cstheme="minorHAnsi"/>
          <w:sz w:val="22"/>
          <w:szCs w:val="22"/>
          <w:shd w:val="clear" w:color="auto" w:fill="FFFFFF"/>
        </w:rPr>
        <w:t>no longer appl</w:t>
      </w:r>
      <w:r w:rsidR="00126C74" w:rsidRPr="002E7A40">
        <w:rPr>
          <w:rFonts w:asciiTheme="minorHAnsi" w:hAnsiTheme="minorHAnsi" w:cstheme="minorHAnsi"/>
          <w:sz w:val="22"/>
          <w:szCs w:val="22"/>
          <w:shd w:val="clear" w:color="auto" w:fill="FFFFFF"/>
        </w:rPr>
        <w:t>y in view of the declining manpower requirement at the port</w:t>
      </w:r>
      <w:r w:rsidR="0076421E" w:rsidRPr="002E7A40">
        <w:rPr>
          <w:rFonts w:asciiTheme="minorHAnsi" w:hAnsiTheme="minorHAnsi" w:cstheme="minorHAnsi"/>
          <w:sz w:val="22"/>
          <w:szCs w:val="22"/>
          <w:shd w:val="clear" w:color="auto" w:fill="FFFFFF"/>
        </w:rPr>
        <w:t>.</w:t>
      </w:r>
    </w:p>
    <w:p w14:paraId="42369DC9" w14:textId="77777777" w:rsidR="005B020F" w:rsidRPr="002E7A40" w:rsidRDefault="005B020F" w:rsidP="005B020F">
      <w:pPr>
        <w:numPr>
          <w:ilvl w:val="0"/>
          <w:numId w:val="1"/>
        </w:numPr>
        <w:contextualSpacing/>
        <w:jc w:val="both"/>
        <w:rPr>
          <w:rFonts w:asciiTheme="minorHAnsi" w:hAnsiTheme="minorHAnsi" w:cstheme="minorHAnsi"/>
        </w:rPr>
      </w:pPr>
      <w:r w:rsidRPr="002E7A40">
        <w:rPr>
          <w:rFonts w:asciiTheme="minorHAnsi" w:hAnsiTheme="minorHAnsi" w:cstheme="minorHAnsi"/>
          <w:color w:val="26282A"/>
          <w:lang w:val="en-US"/>
        </w:rPr>
        <w:t xml:space="preserve">The </w:t>
      </w:r>
      <w:r w:rsidRPr="002E7A40">
        <w:rPr>
          <w:rFonts w:asciiTheme="minorHAnsi" w:hAnsiTheme="minorHAnsi" w:cstheme="minorHAnsi"/>
          <w:lang w:val="en-US"/>
        </w:rPr>
        <w:t xml:space="preserve">Office of National Statistics state the average household has remained at 2.4 people between 2006 and 2016. The </w:t>
      </w:r>
      <w:r w:rsidRPr="002E7A40">
        <w:rPr>
          <w:rFonts w:asciiTheme="minorHAnsi" w:hAnsiTheme="minorHAnsi" w:cstheme="minorHAnsi"/>
        </w:rPr>
        <w:t>population of Felixstowe/Trimley went down between 2001 and 2011 and estimates for 2018 show only a very small increase</w:t>
      </w:r>
    </w:p>
    <w:p w14:paraId="4BBA8E39" w14:textId="6F9BFEF9" w:rsidR="00B45C7A" w:rsidRPr="00C4153C" w:rsidRDefault="005B020F" w:rsidP="00B45C7A">
      <w:pPr>
        <w:pStyle w:val="NormalWeb"/>
        <w:numPr>
          <w:ilvl w:val="0"/>
          <w:numId w:val="1"/>
        </w:numPr>
        <w:shd w:val="clear" w:color="auto" w:fill="FFFFFF"/>
        <w:spacing w:before="120" w:beforeAutospacing="0" w:after="120" w:afterAutospacing="0" w:line="304" w:lineRule="atLeast"/>
        <w:rPr>
          <w:rFonts w:asciiTheme="minorHAnsi" w:hAnsiTheme="minorHAnsi" w:cstheme="minorHAnsi"/>
          <w:sz w:val="22"/>
          <w:szCs w:val="22"/>
        </w:rPr>
      </w:pPr>
      <w:r w:rsidRPr="002E7A40">
        <w:rPr>
          <w:rFonts w:asciiTheme="minorHAnsi" w:hAnsiTheme="minorHAnsi" w:cstheme="minorHAnsi"/>
          <w:sz w:val="22"/>
          <w:szCs w:val="22"/>
          <w:shd w:val="clear" w:color="auto" w:fill="FFFFFF"/>
        </w:rPr>
        <w:t xml:space="preserve">The conditions that were present in 2012 led to a need for increased development and again in 2016, perhaps to a lesser extent, but today they are not the same. The employment opportunities are not present in this area to warrant such number of dwellings.  </w:t>
      </w:r>
    </w:p>
    <w:p w14:paraId="4EEF070F" w14:textId="77777777" w:rsidR="00210D90" w:rsidRPr="00210D90" w:rsidRDefault="00B45C7A" w:rsidP="00914838">
      <w:pPr>
        <w:pStyle w:val="NormalWeb"/>
        <w:numPr>
          <w:ilvl w:val="0"/>
          <w:numId w:val="1"/>
        </w:numPr>
        <w:shd w:val="clear" w:color="auto" w:fill="FFFFFF"/>
        <w:spacing w:before="120" w:beforeAutospacing="0" w:after="120" w:afterAutospacing="0" w:line="304" w:lineRule="atLeast"/>
        <w:rPr>
          <w:rStyle w:val="apple-converted-space"/>
          <w:rFonts w:ascii="Calibri" w:hAnsi="Calibri" w:cs="Arial"/>
          <w:sz w:val="22"/>
          <w:szCs w:val="22"/>
        </w:rPr>
      </w:pPr>
      <w:r w:rsidRPr="002E7A40">
        <w:rPr>
          <w:rStyle w:val="apple-converted-space"/>
          <w:rFonts w:asciiTheme="minorHAnsi" w:hAnsiTheme="minorHAnsi" w:cstheme="minorHAnsi"/>
          <w:color w:val="222222"/>
          <w:sz w:val="22"/>
          <w:szCs w:val="22"/>
          <w:shd w:val="clear" w:color="auto" w:fill="FFFFFF"/>
        </w:rPr>
        <w:t xml:space="preserve">Allocations would be better distributed to areas with better strategic infrastructure but not in areas such as the </w:t>
      </w:r>
      <w:proofErr w:type="spellStart"/>
      <w:r w:rsidRPr="002E7A40">
        <w:rPr>
          <w:rStyle w:val="apple-converted-space"/>
          <w:rFonts w:asciiTheme="minorHAnsi" w:hAnsiTheme="minorHAnsi" w:cstheme="minorHAnsi"/>
          <w:color w:val="222222"/>
          <w:sz w:val="22"/>
          <w:szCs w:val="22"/>
          <w:shd w:val="clear" w:color="auto" w:fill="FFFFFF"/>
        </w:rPr>
        <w:t>Trimleys</w:t>
      </w:r>
      <w:proofErr w:type="spellEnd"/>
      <w:r w:rsidRPr="002E7A40">
        <w:rPr>
          <w:rStyle w:val="apple-converted-space"/>
          <w:rFonts w:asciiTheme="minorHAnsi" w:hAnsiTheme="minorHAnsi" w:cstheme="minorHAnsi"/>
          <w:color w:val="222222"/>
          <w:sz w:val="22"/>
          <w:szCs w:val="22"/>
          <w:shd w:val="clear" w:color="auto" w:fill="FFFFFF"/>
        </w:rPr>
        <w:t xml:space="preserve"> where the infrastructure</w:t>
      </w:r>
      <w:r>
        <w:rPr>
          <w:rStyle w:val="apple-converted-space"/>
          <w:rFonts w:ascii="Calibri" w:hAnsi="Calibri" w:cs="Arial"/>
          <w:color w:val="222222"/>
          <w:sz w:val="22"/>
          <w:szCs w:val="22"/>
          <w:shd w:val="clear" w:color="auto" w:fill="FFFFFF"/>
        </w:rPr>
        <w:t xml:space="preserve"> does not currently exist.</w:t>
      </w:r>
    </w:p>
    <w:p w14:paraId="42EEA8EF" w14:textId="09CCEF4B" w:rsidR="00FE107E" w:rsidRPr="005A2D2A" w:rsidRDefault="0033683A" w:rsidP="00893A31">
      <w:pPr>
        <w:pStyle w:val="NormalWeb"/>
        <w:numPr>
          <w:ilvl w:val="0"/>
          <w:numId w:val="1"/>
        </w:numPr>
        <w:shd w:val="clear" w:color="auto" w:fill="FFFFFF"/>
        <w:spacing w:before="120" w:beforeAutospacing="0" w:after="120" w:afterAutospacing="0" w:line="304" w:lineRule="atLeast"/>
        <w:rPr>
          <w:rStyle w:val="apple-converted-space"/>
          <w:rFonts w:ascii="Calibri" w:hAnsi="Calibri" w:cs="Arial"/>
          <w:sz w:val="22"/>
          <w:szCs w:val="22"/>
        </w:rPr>
      </w:pPr>
      <w:r>
        <w:rPr>
          <w:rStyle w:val="apple-converted-space"/>
          <w:rFonts w:ascii="Calibri" w:hAnsi="Calibri" w:cs="Arial"/>
          <w:color w:val="222222"/>
          <w:sz w:val="22"/>
          <w:szCs w:val="22"/>
          <w:shd w:val="clear" w:color="auto" w:fill="FFFFFF"/>
        </w:rPr>
        <w:t>The proposed developments</w:t>
      </w:r>
      <w:r w:rsidR="00210D90">
        <w:rPr>
          <w:rStyle w:val="apple-converted-space"/>
          <w:rFonts w:ascii="Calibri" w:hAnsi="Calibri" w:cs="Arial"/>
          <w:color w:val="222222"/>
          <w:sz w:val="22"/>
          <w:szCs w:val="22"/>
          <w:shd w:val="clear" w:color="auto" w:fill="FFFFFF"/>
        </w:rPr>
        <w:t xml:space="preserve"> </w:t>
      </w:r>
      <w:r w:rsidR="00ED2F12">
        <w:rPr>
          <w:rStyle w:val="apple-converted-space"/>
          <w:rFonts w:ascii="Calibri" w:hAnsi="Calibri" w:cs="Arial"/>
          <w:color w:val="222222"/>
          <w:sz w:val="22"/>
          <w:szCs w:val="22"/>
          <w:shd w:val="clear" w:color="auto" w:fill="FFFFFF"/>
        </w:rPr>
        <w:t>will</w:t>
      </w:r>
      <w:r w:rsidR="00210D90">
        <w:rPr>
          <w:rStyle w:val="apple-converted-space"/>
          <w:rFonts w:ascii="Calibri" w:hAnsi="Calibri" w:cs="Arial"/>
          <w:color w:val="222222"/>
          <w:sz w:val="22"/>
          <w:szCs w:val="22"/>
          <w:shd w:val="clear" w:color="auto" w:fill="FFFFFF"/>
        </w:rPr>
        <w:t xml:space="preserve"> create enormous pressure upon local infrastructure in the short to medium term</w:t>
      </w:r>
      <w:r w:rsidR="00ED2F12">
        <w:rPr>
          <w:rStyle w:val="apple-converted-space"/>
          <w:rFonts w:ascii="Calibri" w:hAnsi="Calibri" w:cs="Arial"/>
          <w:color w:val="222222"/>
          <w:sz w:val="22"/>
          <w:szCs w:val="22"/>
          <w:shd w:val="clear" w:color="auto" w:fill="FFFFFF"/>
        </w:rPr>
        <w:t>,</w:t>
      </w:r>
      <w:r w:rsidR="00210D90">
        <w:rPr>
          <w:rStyle w:val="apple-converted-space"/>
          <w:rFonts w:ascii="Calibri" w:hAnsi="Calibri" w:cs="Arial"/>
          <w:color w:val="222222"/>
          <w:sz w:val="22"/>
          <w:szCs w:val="22"/>
          <w:shd w:val="clear" w:color="auto" w:fill="FFFFFF"/>
        </w:rPr>
        <w:t xml:space="preserve"> </w:t>
      </w:r>
      <w:r w:rsidR="00893A31">
        <w:rPr>
          <w:rStyle w:val="apple-converted-space"/>
          <w:rFonts w:ascii="Calibri" w:hAnsi="Calibri" w:cs="Arial"/>
          <w:color w:val="222222"/>
          <w:sz w:val="22"/>
          <w:szCs w:val="22"/>
          <w:shd w:val="clear" w:color="auto" w:fill="FFFFFF"/>
        </w:rPr>
        <w:t>which has not been addressed within The Plan</w:t>
      </w:r>
      <w:r w:rsidR="00ED2F12">
        <w:rPr>
          <w:rStyle w:val="apple-converted-space"/>
          <w:rFonts w:ascii="Calibri" w:hAnsi="Calibri" w:cs="Arial"/>
          <w:color w:val="222222"/>
          <w:sz w:val="22"/>
          <w:szCs w:val="22"/>
          <w:shd w:val="clear" w:color="auto" w:fill="FFFFFF"/>
        </w:rPr>
        <w:t>. I</w:t>
      </w:r>
      <w:r w:rsidR="00210D90">
        <w:rPr>
          <w:rStyle w:val="apple-converted-space"/>
          <w:rFonts w:ascii="Calibri" w:hAnsi="Calibri" w:cs="Arial"/>
          <w:color w:val="222222"/>
          <w:sz w:val="22"/>
          <w:szCs w:val="22"/>
          <w:shd w:val="clear" w:color="auto" w:fill="FFFFFF"/>
        </w:rPr>
        <w:t>n addition</w:t>
      </w:r>
      <w:r w:rsidR="00904B0C">
        <w:rPr>
          <w:rStyle w:val="apple-converted-space"/>
          <w:rFonts w:ascii="Calibri" w:hAnsi="Calibri" w:cs="Arial"/>
          <w:color w:val="222222"/>
          <w:sz w:val="22"/>
          <w:szCs w:val="22"/>
          <w:shd w:val="clear" w:color="auto" w:fill="FFFFFF"/>
        </w:rPr>
        <w:t>, the developments would</w:t>
      </w:r>
      <w:r w:rsidR="0026286B">
        <w:rPr>
          <w:rStyle w:val="apple-converted-space"/>
          <w:rFonts w:ascii="Calibri" w:hAnsi="Calibri" w:cs="Arial"/>
          <w:color w:val="222222"/>
          <w:sz w:val="22"/>
          <w:szCs w:val="22"/>
          <w:shd w:val="clear" w:color="auto" w:fill="FFFFFF"/>
        </w:rPr>
        <w:t xml:space="preserve"> m</w:t>
      </w:r>
      <w:r w:rsidR="00210D90">
        <w:rPr>
          <w:rStyle w:val="apple-converted-space"/>
          <w:rFonts w:ascii="Calibri" w:hAnsi="Calibri" w:cs="Arial"/>
          <w:color w:val="222222"/>
          <w:sz w:val="22"/>
          <w:szCs w:val="22"/>
          <w:shd w:val="clear" w:color="auto" w:fill="FFFFFF"/>
        </w:rPr>
        <w:t>aterially, demonstrably and adversely affect the essentially rural character of these two historic villages</w:t>
      </w:r>
      <w:r w:rsidR="0026286B">
        <w:rPr>
          <w:rStyle w:val="apple-converted-space"/>
          <w:rFonts w:ascii="Calibri" w:hAnsi="Calibri" w:cs="Arial"/>
          <w:color w:val="222222"/>
          <w:sz w:val="22"/>
          <w:szCs w:val="22"/>
          <w:shd w:val="clear" w:color="auto" w:fill="FFFFFF"/>
        </w:rPr>
        <w:t xml:space="preserve">. The Plan </w:t>
      </w:r>
      <w:r w:rsidR="00126C74">
        <w:rPr>
          <w:rStyle w:val="apple-converted-space"/>
          <w:rFonts w:ascii="Calibri" w:hAnsi="Calibri" w:cs="Arial"/>
          <w:color w:val="222222"/>
          <w:sz w:val="22"/>
          <w:szCs w:val="22"/>
          <w:shd w:val="clear" w:color="auto" w:fill="FFFFFF"/>
        </w:rPr>
        <w:t xml:space="preserve">is therefore not effective and </w:t>
      </w:r>
      <w:r w:rsidR="00210D90">
        <w:rPr>
          <w:rStyle w:val="apple-converted-space"/>
          <w:rFonts w:ascii="Calibri" w:hAnsi="Calibri" w:cs="Arial"/>
          <w:color w:val="222222"/>
          <w:sz w:val="22"/>
          <w:szCs w:val="22"/>
          <w:shd w:val="clear" w:color="auto" w:fill="FFFFFF"/>
        </w:rPr>
        <w:t xml:space="preserve">is </w:t>
      </w:r>
      <w:r w:rsidR="00126C74">
        <w:rPr>
          <w:rStyle w:val="apple-converted-space"/>
          <w:rFonts w:ascii="Calibri" w:hAnsi="Calibri" w:cs="Arial"/>
          <w:color w:val="222222"/>
          <w:sz w:val="22"/>
          <w:szCs w:val="22"/>
          <w:shd w:val="clear" w:color="auto" w:fill="FFFFFF"/>
        </w:rPr>
        <w:t>unsound</w:t>
      </w:r>
      <w:r w:rsidR="005A2D2A">
        <w:rPr>
          <w:rStyle w:val="apple-converted-space"/>
          <w:rFonts w:ascii="Calibri" w:hAnsi="Calibri" w:cs="Arial"/>
          <w:color w:val="222222"/>
          <w:sz w:val="22"/>
          <w:szCs w:val="22"/>
          <w:shd w:val="clear" w:color="auto" w:fill="FFFFFF"/>
        </w:rPr>
        <w:t>.</w:t>
      </w:r>
    </w:p>
    <w:p w14:paraId="58D3B489" w14:textId="5B73E065" w:rsidR="005A2D2A" w:rsidRPr="005A2D2A" w:rsidRDefault="005A2D2A" w:rsidP="005A2D2A">
      <w:pPr>
        <w:numPr>
          <w:ilvl w:val="0"/>
          <w:numId w:val="1"/>
        </w:numPr>
      </w:pPr>
      <w:r w:rsidRPr="005A2D2A">
        <w:t xml:space="preserve">The </w:t>
      </w:r>
      <w:proofErr w:type="spellStart"/>
      <w:r>
        <w:t>Trimleys</w:t>
      </w:r>
      <w:proofErr w:type="spellEnd"/>
      <w:r>
        <w:t xml:space="preserve"> sit</w:t>
      </w:r>
      <w:r w:rsidRPr="005A2D2A">
        <w:t xml:space="preserve"> in a rural setting</w:t>
      </w:r>
      <w:r>
        <w:t xml:space="preserve"> n</w:t>
      </w:r>
      <w:r w:rsidRPr="005A2D2A">
        <w:t xml:space="preserve">estling between the Rivers Orwell and Deben, </w:t>
      </w:r>
      <w:r>
        <w:t xml:space="preserve">their </w:t>
      </w:r>
      <w:r w:rsidRPr="005A2D2A">
        <w:t>character has long been recognised by Suffolk Coastal District Council. They have made it clear many times in the past that “further large</w:t>
      </w:r>
      <w:r w:rsidR="00CB5314">
        <w:t>-</w:t>
      </w:r>
      <w:r w:rsidRPr="005A2D2A">
        <w:t>scale development would be inappropriate because of the damage to the character of the Peninsula and its settlement</w:t>
      </w:r>
      <w:r>
        <w:t>s</w:t>
      </w:r>
      <w:r w:rsidRPr="005A2D2A">
        <w:t xml:space="preserve">”. </w:t>
      </w:r>
    </w:p>
    <w:p w14:paraId="4CC1D232" w14:textId="77777777" w:rsidR="00304E55" w:rsidRPr="0033683A" w:rsidRDefault="00304E55" w:rsidP="0033683A">
      <w:pPr>
        <w:numPr>
          <w:ilvl w:val="0"/>
          <w:numId w:val="1"/>
        </w:numPr>
      </w:pPr>
      <w:r w:rsidRPr="0033683A">
        <w:t>People live here BECAUSE of its character and countryside.</w:t>
      </w:r>
      <w:r w:rsidR="0033683A">
        <w:t xml:space="preserve"> </w:t>
      </w:r>
      <w:r w:rsidRPr="0033683A">
        <w:t>The wildlife is plentiful. Despite the A14 being opening in 1974 (which cut the parish in two), birds singing in the Spring can still drown out the endless traffic noise.</w:t>
      </w:r>
      <w:r w:rsidR="00E5065E">
        <w:t xml:space="preserve"> </w:t>
      </w:r>
      <w:r w:rsidRPr="0033683A">
        <w:t>To the West of the village lie the Trimley Marshes, home to a stunning amount of bird life.</w:t>
      </w:r>
    </w:p>
    <w:p w14:paraId="42A9AD9E" w14:textId="197E3782" w:rsidR="00E52EE3" w:rsidRPr="00E52EE3" w:rsidRDefault="00E52EE3" w:rsidP="00E52EE3">
      <w:pPr>
        <w:numPr>
          <w:ilvl w:val="0"/>
          <w:numId w:val="1"/>
        </w:numPr>
      </w:pPr>
      <w:r w:rsidRPr="00E52EE3">
        <w:t xml:space="preserve">As you come off the Trimley Roundabout down Howlett Way </w:t>
      </w:r>
      <w:r w:rsidR="003A0C40">
        <w:t xml:space="preserve">to approach Trimley St Martin </w:t>
      </w:r>
      <w:r w:rsidRPr="00E52EE3">
        <w:t>you are struck by the lovely open view across the field on the left</w:t>
      </w:r>
      <w:r w:rsidR="00CB5314">
        <w:t>-</w:t>
      </w:r>
      <w:r w:rsidRPr="00E52EE3">
        <w:t xml:space="preserve">hand side. </w:t>
      </w:r>
      <w:r>
        <w:t xml:space="preserve">Upon </w:t>
      </w:r>
      <w:r w:rsidRPr="00E66F3E">
        <w:t>approaching the roundabout and</w:t>
      </w:r>
      <w:r w:rsidR="003A0C40" w:rsidRPr="00E66F3E">
        <w:t>,</w:t>
      </w:r>
      <w:r w:rsidRPr="00E66F3E">
        <w:t xml:space="preserve"> before the temporary appearance of Volker Fitzpatrick</w:t>
      </w:r>
      <w:r>
        <w:t xml:space="preserve"> workings, one </w:t>
      </w:r>
      <w:r w:rsidR="003A0C40">
        <w:t xml:space="preserve">would be </w:t>
      </w:r>
      <w:r>
        <w:t xml:space="preserve">confronted with another </w:t>
      </w:r>
      <w:r w:rsidR="003A0C40">
        <w:t xml:space="preserve">wonderful </w:t>
      </w:r>
      <w:r>
        <w:t>view across open farmland through to woodland and beyond toward the River Orwell. These views immediately give</w:t>
      </w:r>
      <w:r w:rsidRPr="00E52EE3">
        <w:t xml:space="preserve"> you a feeling of being in unspoilt countryside. It is not unusual to see deer h</w:t>
      </w:r>
      <w:r>
        <w:t>ere,</w:t>
      </w:r>
      <w:r w:rsidRPr="00E52EE3">
        <w:t xml:space="preserve"> you</w:t>
      </w:r>
      <w:r w:rsidR="00265A5C">
        <w:t xml:space="preserve"> can </w:t>
      </w:r>
      <w:r w:rsidR="00265A5C">
        <w:lastRenderedPageBreak/>
        <w:t xml:space="preserve">see all manner of wildlife and so </w:t>
      </w:r>
      <w:r w:rsidRPr="00E52EE3">
        <w:t>popular with ramblers, dog owners and horse riders. The changing seasons and the views are a great asset to all.</w:t>
      </w:r>
      <w:r w:rsidR="002A7EFC">
        <w:t xml:space="preserve">  </w:t>
      </w:r>
    </w:p>
    <w:p w14:paraId="02765DFE" w14:textId="77777777" w:rsidR="00E52EE3" w:rsidRPr="00E52EE3" w:rsidRDefault="00E52EE3" w:rsidP="00E52EE3">
      <w:pPr>
        <w:numPr>
          <w:ilvl w:val="0"/>
          <w:numId w:val="1"/>
        </w:numPr>
      </w:pPr>
      <w:r w:rsidRPr="00E52EE3">
        <w:t>Turning left again off Howlett Way you soon pass the Grade 11 listed church of Trimley St Martin. It is here that Sir Thomas Cavendish was baptised. It is He who you see on the village sign. It is his birthplace. He was the second circumnavigator of the globe, following Sir Francis Drake.</w:t>
      </w:r>
    </w:p>
    <w:p w14:paraId="120099B7" w14:textId="77777777" w:rsidR="00E52EE3" w:rsidRPr="00E52EE3" w:rsidRDefault="00E52EE3" w:rsidP="00E52EE3">
      <w:pPr>
        <w:numPr>
          <w:ilvl w:val="0"/>
          <w:numId w:val="1"/>
        </w:numPr>
      </w:pPr>
      <w:r w:rsidRPr="00E52EE3">
        <w:t>Today the village remains a wonderful place to live. The community is friendly and retains its individuality.</w:t>
      </w:r>
    </w:p>
    <w:p w14:paraId="3C15BD0D" w14:textId="77777777" w:rsidR="00E52EE3" w:rsidRDefault="00E52EE3" w:rsidP="00E52EE3">
      <w:pPr>
        <w:numPr>
          <w:ilvl w:val="0"/>
          <w:numId w:val="1"/>
        </w:numPr>
      </w:pPr>
      <w:r w:rsidRPr="00E52EE3">
        <w:t>As much as it can be in this modern age it has just about retained its uniqueness.  It is important to preserve and look after this historical village and leave the countryside to flourish for centuries to come.</w:t>
      </w:r>
      <w:r w:rsidR="00D47B46">
        <w:t xml:space="preserve"> </w:t>
      </w:r>
    </w:p>
    <w:p w14:paraId="290275B7" w14:textId="77777777" w:rsidR="00CF4F16" w:rsidRDefault="00B84131" w:rsidP="00E52EE3">
      <w:pPr>
        <w:numPr>
          <w:ilvl w:val="0"/>
          <w:numId w:val="1"/>
        </w:numPr>
      </w:pPr>
      <w:r>
        <w:t xml:space="preserve">According to a statement made by </w:t>
      </w:r>
      <w:proofErr w:type="gramStart"/>
      <w:r>
        <w:t xml:space="preserve">SCDC </w:t>
      </w:r>
      <w:r w:rsidR="00CF4F16">
        <w:t>:</w:t>
      </w:r>
      <w:proofErr w:type="gramEnd"/>
    </w:p>
    <w:p w14:paraId="5E6AA6B9" w14:textId="77777777" w:rsidR="00520238" w:rsidRDefault="00B45CF4" w:rsidP="00CF4F16">
      <w:pPr>
        <w:numPr>
          <w:ilvl w:val="0"/>
          <w:numId w:val="16"/>
        </w:numPr>
      </w:pPr>
      <w:r>
        <w:t>Felixstowe Pen</w:t>
      </w:r>
      <w:r w:rsidR="00520238">
        <w:t>i</w:t>
      </w:r>
      <w:r>
        <w:t>nsula</w:t>
      </w:r>
      <w:r w:rsidR="00520238">
        <w:t xml:space="preserve"> – General Policies:</w:t>
      </w:r>
    </w:p>
    <w:p w14:paraId="2BA51122" w14:textId="3D7FA44B" w:rsidR="006674C9" w:rsidRDefault="00520238" w:rsidP="00F57363">
      <w:pPr>
        <w:ind w:left="927"/>
      </w:pPr>
      <w:r>
        <w:t>The Local Plan states that</w:t>
      </w:r>
      <w:r w:rsidR="00B805D6">
        <w:t>…</w:t>
      </w:r>
      <w:proofErr w:type="gramStart"/>
      <w:r w:rsidR="00B805D6">
        <w:t>…”</w:t>
      </w:r>
      <w:r>
        <w:t>further</w:t>
      </w:r>
      <w:proofErr w:type="gramEnd"/>
      <w:r>
        <w:t xml:space="preserve"> large</w:t>
      </w:r>
      <w:r w:rsidR="00CF2EB5">
        <w:t>-</w:t>
      </w:r>
      <w:r>
        <w:t>scale development would be inappropriate because of the potential damage to the character of the Peninsula and its settlements.</w:t>
      </w:r>
      <w:r w:rsidR="00F57363">
        <w:t xml:space="preserve"> </w:t>
      </w:r>
      <w:r w:rsidR="006674C9">
        <w:t xml:space="preserve">The </w:t>
      </w:r>
      <w:r w:rsidR="002B314E">
        <w:t>Trimley villages have long been identified</w:t>
      </w:r>
      <w:r w:rsidR="006674C9">
        <w:t xml:space="preserve"> as </w:t>
      </w:r>
      <w:r w:rsidR="008C4BFC">
        <w:t>v</w:t>
      </w:r>
      <w:r w:rsidR="006674C9">
        <w:t xml:space="preserve">illages for </w:t>
      </w:r>
      <w:proofErr w:type="gramStart"/>
      <w:r w:rsidR="006674C9">
        <w:t>a number of</w:t>
      </w:r>
      <w:proofErr w:type="gramEnd"/>
      <w:r w:rsidR="006674C9">
        <w:t xml:space="preserve"> reasons:</w:t>
      </w:r>
    </w:p>
    <w:p w14:paraId="768F039D" w14:textId="77777777" w:rsidR="006674C9" w:rsidRDefault="006674C9" w:rsidP="006674C9">
      <w:pPr>
        <w:numPr>
          <w:ilvl w:val="0"/>
          <w:numId w:val="18"/>
        </w:numPr>
      </w:pPr>
      <w:r>
        <w:t>To protect and recognise their individual character</w:t>
      </w:r>
    </w:p>
    <w:p w14:paraId="678A9C10" w14:textId="77777777" w:rsidR="006674C9" w:rsidRDefault="006674C9" w:rsidP="006674C9">
      <w:pPr>
        <w:numPr>
          <w:ilvl w:val="0"/>
          <w:numId w:val="18"/>
        </w:numPr>
      </w:pPr>
      <w:r>
        <w:t>To allow for a period of assimilation after two decades of rapid growth</w:t>
      </w:r>
    </w:p>
    <w:p w14:paraId="6FFF0284" w14:textId="77777777" w:rsidR="006F2C29" w:rsidRDefault="006674C9" w:rsidP="006F2C29">
      <w:pPr>
        <w:numPr>
          <w:ilvl w:val="0"/>
          <w:numId w:val="18"/>
        </w:numPr>
      </w:pPr>
      <w:r>
        <w:t>To maintain the open character of the land which separates them from each other and from Felixstowe</w:t>
      </w:r>
    </w:p>
    <w:p w14:paraId="3B0C94AE" w14:textId="755DA1A0" w:rsidR="006674C9" w:rsidRDefault="00BD2B83" w:rsidP="006F2C29">
      <w:pPr>
        <w:numPr>
          <w:ilvl w:val="0"/>
          <w:numId w:val="18"/>
        </w:numPr>
      </w:pPr>
      <w:r>
        <w:t>E</w:t>
      </w:r>
      <w:r w:rsidR="006674C9">
        <w:t>state – scale development, therefore, will be strongly resisted</w:t>
      </w:r>
      <w:r>
        <w:t>”</w:t>
      </w:r>
    </w:p>
    <w:p w14:paraId="6CB0B8B1" w14:textId="77777777" w:rsidR="006674C9" w:rsidRDefault="00263EBB" w:rsidP="006674C9">
      <w:pPr>
        <w:numPr>
          <w:ilvl w:val="0"/>
          <w:numId w:val="1"/>
        </w:numPr>
      </w:pPr>
      <w:r>
        <w:t xml:space="preserve">After recent and approved </w:t>
      </w:r>
      <w:proofErr w:type="gramStart"/>
      <w:r>
        <w:t>developments</w:t>
      </w:r>
      <w:proofErr w:type="gramEnd"/>
      <w:r>
        <w:t xml:space="preserve"> the above points must still apply</w:t>
      </w:r>
    </w:p>
    <w:p w14:paraId="52AA4434" w14:textId="77777777" w:rsidR="005D5A1A" w:rsidRDefault="005D5A1A" w:rsidP="006674C9">
      <w:pPr>
        <w:numPr>
          <w:ilvl w:val="0"/>
          <w:numId w:val="1"/>
        </w:numPr>
      </w:pPr>
      <w:r>
        <w:t>Para 122 of NPPF – Achieving appropriate densities refers to:</w:t>
      </w:r>
    </w:p>
    <w:p w14:paraId="690759ED" w14:textId="77777777" w:rsidR="00AB321B" w:rsidRDefault="005D5A1A" w:rsidP="00AB321B">
      <w:pPr>
        <w:numPr>
          <w:ilvl w:val="0"/>
          <w:numId w:val="13"/>
        </w:numPr>
      </w:pPr>
      <w:r>
        <w:t>“the desirability of maintaining an area’s prevailing character and setting (including residential gardens), or promoting regeneration and change”</w:t>
      </w:r>
    </w:p>
    <w:p w14:paraId="5A6EFE67" w14:textId="77777777" w:rsidR="00BD2B83" w:rsidRDefault="00AB321B" w:rsidP="00263EBB">
      <w:pPr>
        <w:pStyle w:val="NormalWeb"/>
        <w:numPr>
          <w:ilvl w:val="0"/>
          <w:numId w:val="1"/>
        </w:numPr>
        <w:shd w:val="clear" w:color="auto" w:fill="FFFFFF"/>
        <w:spacing w:before="120" w:beforeAutospacing="0" w:after="120" w:afterAutospacing="0" w:line="304" w:lineRule="atLeast"/>
        <w:rPr>
          <w:rFonts w:ascii="Calibri" w:hAnsi="Calibri" w:cs="Arial"/>
          <w:sz w:val="22"/>
          <w:szCs w:val="22"/>
        </w:rPr>
      </w:pPr>
      <w:r>
        <w:rPr>
          <w:rFonts w:ascii="Calibri" w:hAnsi="Calibri" w:cs="Arial"/>
          <w:sz w:val="22"/>
          <w:szCs w:val="22"/>
        </w:rPr>
        <w:t xml:space="preserve">In this case the need to promote regeneration is not necessary for that has effectively been achieved through recent, current and approved developments. </w:t>
      </w:r>
      <w:r w:rsidR="00D47B46">
        <w:rPr>
          <w:rFonts w:ascii="Calibri" w:hAnsi="Calibri" w:cs="Arial"/>
          <w:sz w:val="22"/>
          <w:szCs w:val="22"/>
        </w:rPr>
        <w:t xml:space="preserve">The imposition of </w:t>
      </w:r>
      <w:r w:rsidR="005D5A1A">
        <w:rPr>
          <w:rFonts w:ascii="Calibri" w:hAnsi="Calibri" w:cs="Arial"/>
          <w:sz w:val="22"/>
          <w:szCs w:val="22"/>
        </w:rPr>
        <w:t>this</w:t>
      </w:r>
      <w:r w:rsidR="00D47B46">
        <w:rPr>
          <w:rFonts w:ascii="Calibri" w:hAnsi="Calibri" w:cs="Arial"/>
          <w:sz w:val="22"/>
          <w:szCs w:val="22"/>
        </w:rPr>
        <w:t xml:space="preserve"> unnecessary</w:t>
      </w:r>
      <w:r w:rsidR="00B605A2">
        <w:rPr>
          <w:rFonts w:ascii="Calibri" w:hAnsi="Calibri" w:cs="Arial"/>
          <w:sz w:val="22"/>
          <w:szCs w:val="22"/>
        </w:rPr>
        <w:t xml:space="preserve"> amount of </w:t>
      </w:r>
      <w:r>
        <w:rPr>
          <w:rFonts w:ascii="Calibri" w:hAnsi="Calibri" w:cs="Arial"/>
          <w:sz w:val="22"/>
          <w:szCs w:val="22"/>
        </w:rPr>
        <w:t xml:space="preserve">proposed </w:t>
      </w:r>
      <w:r w:rsidR="00B605A2">
        <w:rPr>
          <w:rFonts w:ascii="Calibri" w:hAnsi="Calibri" w:cs="Arial"/>
          <w:sz w:val="22"/>
          <w:szCs w:val="22"/>
        </w:rPr>
        <w:t>development shall significantly and detrimentally destroy the quaintness and uniqueness of this village and surrounding area</w:t>
      </w:r>
      <w:r>
        <w:rPr>
          <w:rFonts w:ascii="Calibri" w:hAnsi="Calibri" w:cs="Arial"/>
          <w:sz w:val="22"/>
          <w:szCs w:val="22"/>
        </w:rPr>
        <w:t xml:space="preserve"> thus fail to ‘maintain the area’s prevailing character</w:t>
      </w:r>
      <w:r w:rsidR="00B605A2">
        <w:rPr>
          <w:rFonts w:ascii="Calibri" w:hAnsi="Calibri" w:cs="Arial"/>
          <w:sz w:val="22"/>
          <w:szCs w:val="22"/>
        </w:rPr>
        <w:t>.</w:t>
      </w:r>
      <w:r>
        <w:rPr>
          <w:rFonts w:ascii="Calibri" w:hAnsi="Calibri" w:cs="Arial"/>
          <w:sz w:val="22"/>
          <w:szCs w:val="22"/>
        </w:rPr>
        <w:t xml:space="preserve"> To that end The Plan has failed to justify their proposals and is therefore unsound. </w:t>
      </w:r>
    </w:p>
    <w:p w14:paraId="408331A8" w14:textId="77777777" w:rsidR="00E54444" w:rsidRDefault="00E54444">
      <w:pPr>
        <w:spacing w:after="0" w:line="240" w:lineRule="auto"/>
        <w:rPr>
          <w:rFonts w:cs="Arial"/>
          <w:color w:val="000000"/>
          <w:lang w:eastAsia="en-GB"/>
        </w:rPr>
      </w:pPr>
      <w:r>
        <w:rPr>
          <w:rFonts w:cs="Arial"/>
        </w:rPr>
        <w:br w:type="page"/>
      </w:r>
    </w:p>
    <w:p w14:paraId="5A11CD89" w14:textId="191B1F0F" w:rsidR="005A2D2A" w:rsidRPr="002A7EFC" w:rsidRDefault="00B605A2" w:rsidP="00BD2B83">
      <w:pPr>
        <w:pStyle w:val="NormalWeb"/>
        <w:shd w:val="clear" w:color="auto" w:fill="FFFFFF"/>
        <w:spacing w:before="120" w:beforeAutospacing="0" w:after="120" w:afterAutospacing="0" w:line="304" w:lineRule="atLeast"/>
        <w:ind w:left="927"/>
        <w:rPr>
          <w:rFonts w:ascii="Calibri" w:hAnsi="Calibri" w:cs="Arial"/>
          <w:sz w:val="22"/>
          <w:szCs w:val="22"/>
        </w:rPr>
      </w:pPr>
      <w:r>
        <w:rPr>
          <w:rFonts w:ascii="Calibri" w:hAnsi="Calibri" w:cs="Arial"/>
          <w:sz w:val="22"/>
          <w:szCs w:val="22"/>
        </w:rPr>
        <w:lastRenderedPageBreak/>
        <w:t xml:space="preserve"> </w:t>
      </w:r>
    </w:p>
    <w:p w14:paraId="7806E4F2" w14:textId="0208FB78" w:rsidR="00FE107E" w:rsidRDefault="00FE107E" w:rsidP="00263EBB">
      <w:pPr>
        <w:numPr>
          <w:ilvl w:val="0"/>
          <w:numId w:val="1"/>
        </w:numPr>
        <w:contextualSpacing/>
        <w:jc w:val="both"/>
        <w:rPr>
          <w:rFonts w:cs="Calibri"/>
        </w:rPr>
      </w:pPr>
      <w:r>
        <w:rPr>
          <w:rFonts w:cs="Calibri"/>
        </w:rPr>
        <w:t>Reference</w:t>
      </w:r>
      <w:r w:rsidR="00E54444">
        <w:rPr>
          <w:rFonts w:cs="Calibri"/>
        </w:rPr>
        <w:t xml:space="preserve"> </w:t>
      </w:r>
      <w:proofErr w:type="gramStart"/>
      <w:r>
        <w:rPr>
          <w:rFonts w:cs="Calibri"/>
        </w:rPr>
        <w:t>The</w:t>
      </w:r>
      <w:proofErr w:type="gramEnd"/>
      <w:r w:rsidR="00E54444">
        <w:rPr>
          <w:rFonts w:cs="Calibri"/>
        </w:rPr>
        <w:t xml:space="preserve"> </w:t>
      </w:r>
      <w:r>
        <w:rPr>
          <w:rFonts w:cs="Calibri"/>
        </w:rPr>
        <w:t>Plan</w:t>
      </w:r>
      <w:r w:rsidR="00E54444">
        <w:rPr>
          <w:rFonts w:cs="Calibri"/>
        </w:rPr>
        <w:t>,</w:t>
      </w:r>
      <w:r>
        <w:rPr>
          <w:rFonts w:cs="Calibri"/>
        </w:rPr>
        <w:t xml:space="preserve"> Table 3.5 page 45. To demonstrate the unfair distribution of housing</w:t>
      </w:r>
      <w:r w:rsidR="00FD2E3B">
        <w:rPr>
          <w:rFonts w:cs="Calibri"/>
        </w:rPr>
        <w:t xml:space="preserve">/growth </w:t>
      </w:r>
      <w:r>
        <w:rPr>
          <w:rFonts w:cs="Calibri"/>
        </w:rPr>
        <w:t>to</w:t>
      </w:r>
      <w:r w:rsidR="00FD2E3B">
        <w:rPr>
          <w:rFonts w:cs="Calibri"/>
        </w:rPr>
        <w:t>ward</w:t>
      </w:r>
      <w:r>
        <w:rPr>
          <w:rFonts w:cs="Calibri"/>
        </w:rPr>
        <w:t xml:space="preserve"> the Trimley Villages – classified </w:t>
      </w:r>
      <w:r w:rsidR="00FD2E3B">
        <w:rPr>
          <w:rFonts w:cs="Calibri"/>
        </w:rPr>
        <w:t>‘</w:t>
      </w:r>
      <w:r>
        <w:rPr>
          <w:rFonts w:cs="Calibri"/>
        </w:rPr>
        <w:t>Large Villages</w:t>
      </w:r>
      <w:r w:rsidR="00FD2E3B">
        <w:rPr>
          <w:rFonts w:cs="Calibri"/>
        </w:rPr>
        <w:t>’,</w:t>
      </w:r>
      <w:r>
        <w:rPr>
          <w:rFonts w:cs="Calibri"/>
        </w:rPr>
        <w:t xml:space="preserve"> when compared with the distribution to other Large Villages across the District</w:t>
      </w:r>
      <w:r w:rsidR="00FD2E3B">
        <w:rPr>
          <w:rFonts w:cs="Calibri"/>
        </w:rPr>
        <w:t>.</w:t>
      </w:r>
      <w:r w:rsidR="00E54444">
        <w:rPr>
          <w:rFonts w:cs="Calibri"/>
        </w:rPr>
        <w:t xml:space="preserve"> The</w:t>
      </w:r>
      <w:r w:rsidR="00FD2E3B">
        <w:rPr>
          <w:rFonts w:cs="Calibri"/>
        </w:rPr>
        <w:t xml:space="preserve"> following </w:t>
      </w:r>
      <w:r w:rsidR="00E54444">
        <w:rPr>
          <w:rFonts w:cs="Calibri"/>
        </w:rPr>
        <w:t xml:space="preserve">table has been </w:t>
      </w:r>
      <w:r w:rsidR="00FD2E3B">
        <w:rPr>
          <w:rFonts w:cs="Calibri"/>
        </w:rPr>
        <w:t xml:space="preserve">adapted </w:t>
      </w:r>
      <w:r w:rsidR="00E54444">
        <w:rPr>
          <w:rFonts w:cs="Calibri"/>
        </w:rPr>
        <w:t>t</w:t>
      </w:r>
      <w:r w:rsidR="00FD2E3B">
        <w:rPr>
          <w:rFonts w:cs="Calibri"/>
        </w:rPr>
        <w:t xml:space="preserve">o illustrate the unfairness </w:t>
      </w:r>
      <w:r>
        <w:rPr>
          <w:rFonts w:cs="Calibri"/>
        </w:rPr>
        <w:t>between 2016 to 2018</w:t>
      </w:r>
    </w:p>
    <w:p w14:paraId="3B8A127F" w14:textId="77777777" w:rsidR="00FE107E" w:rsidRDefault="00FE107E" w:rsidP="00FE107E">
      <w:pPr>
        <w:ind w:left="720"/>
        <w:contextualSpacing/>
        <w:jc w:val="both"/>
        <w:rPr>
          <w:rFonts w:cs="Calibri"/>
        </w:rPr>
      </w:pPr>
    </w:p>
    <w:p w14:paraId="3AF47245" w14:textId="77777777" w:rsidR="00FE107E" w:rsidRDefault="00FE107E" w:rsidP="00FE107E">
      <w:pPr>
        <w:pStyle w:val="ListParagraph"/>
        <w:rPr>
          <w:rFonts w:cs="Calibr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417"/>
        <w:gridCol w:w="1418"/>
        <w:gridCol w:w="1276"/>
        <w:gridCol w:w="1275"/>
      </w:tblGrid>
      <w:tr w:rsidR="00FE107E" w:rsidRPr="00D551C2" w14:paraId="391DC0A3" w14:textId="77777777" w:rsidTr="001F1E63">
        <w:tc>
          <w:tcPr>
            <w:tcW w:w="1940" w:type="dxa"/>
          </w:tcPr>
          <w:p w14:paraId="4ED09CA1" w14:textId="77777777" w:rsidR="00FE107E" w:rsidRPr="00D551C2" w:rsidRDefault="00FE107E" w:rsidP="001F1E63">
            <w:pPr>
              <w:pStyle w:val="ListParagraph"/>
              <w:ind w:left="0"/>
              <w:jc w:val="center"/>
              <w:rPr>
                <w:rFonts w:cs="Calibri"/>
              </w:rPr>
            </w:pPr>
            <w:r w:rsidRPr="00D551C2">
              <w:rPr>
                <w:rFonts w:cs="Calibri"/>
              </w:rPr>
              <w:t>District</w:t>
            </w:r>
          </w:p>
        </w:tc>
        <w:tc>
          <w:tcPr>
            <w:tcW w:w="1417" w:type="dxa"/>
          </w:tcPr>
          <w:p w14:paraId="3415A4FB" w14:textId="77777777" w:rsidR="00FE107E" w:rsidRPr="00D551C2" w:rsidRDefault="00FE107E" w:rsidP="001F1E63">
            <w:pPr>
              <w:pStyle w:val="ListParagraph"/>
              <w:ind w:left="0"/>
              <w:jc w:val="center"/>
              <w:rPr>
                <w:rFonts w:cs="Calibri"/>
              </w:rPr>
            </w:pPr>
            <w:r w:rsidRPr="00D551C2">
              <w:rPr>
                <w:rFonts w:cs="Calibri"/>
                <w:color w:val="4F81BD"/>
              </w:rPr>
              <w:t>Permissions &amp; Resolution to grant permission as at March 2018</w:t>
            </w:r>
          </w:p>
        </w:tc>
        <w:tc>
          <w:tcPr>
            <w:tcW w:w="1418" w:type="dxa"/>
          </w:tcPr>
          <w:p w14:paraId="3D66F884" w14:textId="77777777" w:rsidR="00FE107E" w:rsidRPr="00D551C2" w:rsidRDefault="00FE107E" w:rsidP="001F1E63">
            <w:pPr>
              <w:pStyle w:val="ListParagraph"/>
              <w:ind w:left="0"/>
              <w:jc w:val="center"/>
              <w:rPr>
                <w:rFonts w:cs="Calibri"/>
              </w:rPr>
            </w:pPr>
            <w:r w:rsidRPr="00D551C2">
              <w:rPr>
                <w:rFonts w:cs="Calibri"/>
                <w:color w:val="4F81BD"/>
              </w:rPr>
              <w:t>Existing Allocations without permissions as at March 2018</w:t>
            </w:r>
          </w:p>
        </w:tc>
        <w:tc>
          <w:tcPr>
            <w:tcW w:w="1276" w:type="dxa"/>
          </w:tcPr>
          <w:p w14:paraId="3258B6CC" w14:textId="77777777" w:rsidR="00FE107E" w:rsidRPr="00D551C2" w:rsidRDefault="00FE107E" w:rsidP="001F1E63">
            <w:pPr>
              <w:pStyle w:val="ListParagraph"/>
              <w:ind w:left="0"/>
              <w:jc w:val="center"/>
              <w:rPr>
                <w:rFonts w:cs="Calibri"/>
              </w:rPr>
            </w:pPr>
            <w:r w:rsidRPr="00D551C2">
              <w:rPr>
                <w:rFonts w:cs="Calibri"/>
                <w:color w:val="4F81BD"/>
              </w:rPr>
              <w:t>New Housing Allocations</w:t>
            </w:r>
          </w:p>
        </w:tc>
        <w:tc>
          <w:tcPr>
            <w:tcW w:w="1275" w:type="dxa"/>
          </w:tcPr>
          <w:p w14:paraId="10697798" w14:textId="77777777" w:rsidR="00FE107E" w:rsidRPr="00D551C2" w:rsidRDefault="00FE107E" w:rsidP="001F1E63">
            <w:pPr>
              <w:pStyle w:val="ListParagraph"/>
              <w:ind w:left="0"/>
              <w:jc w:val="center"/>
              <w:rPr>
                <w:rFonts w:cs="Calibri"/>
              </w:rPr>
            </w:pPr>
            <w:proofErr w:type="spellStart"/>
            <w:proofErr w:type="gramStart"/>
            <w:r w:rsidRPr="00D551C2">
              <w:rPr>
                <w:rFonts w:cs="Calibri"/>
                <w:color w:val="4F81BD"/>
              </w:rPr>
              <w:t>Comulative</w:t>
            </w:r>
            <w:proofErr w:type="spellEnd"/>
            <w:r w:rsidRPr="00D551C2">
              <w:rPr>
                <w:rFonts w:cs="Calibri"/>
                <w:color w:val="4F81BD"/>
              </w:rPr>
              <w:t xml:space="preserve">  Indicative</w:t>
            </w:r>
            <w:proofErr w:type="gramEnd"/>
            <w:r w:rsidRPr="00D551C2">
              <w:rPr>
                <w:rFonts w:cs="Calibri"/>
                <w:color w:val="4F81BD"/>
              </w:rPr>
              <w:t xml:space="preserve"> Contribution 2018 - 2036</w:t>
            </w:r>
          </w:p>
        </w:tc>
      </w:tr>
      <w:tr w:rsidR="00FE107E" w:rsidRPr="00D551C2" w14:paraId="52A9FD2E" w14:textId="77777777" w:rsidTr="001F1E63">
        <w:tc>
          <w:tcPr>
            <w:tcW w:w="1940" w:type="dxa"/>
          </w:tcPr>
          <w:p w14:paraId="4573EC74" w14:textId="77777777" w:rsidR="00FE107E" w:rsidRPr="00D551C2" w:rsidRDefault="00FE107E" w:rsidP="001F1E63">
            <w:pPr>
              <w:pStyle w:val="ListParagraph"/>
              <w:ind w:left="0"/>
              <w:jc w:val="center"/>
              <w:rPr>
                <w:rFonts w:cs="Calibri"/>
              </w:rPr>
            </w:pPr>
            <w:r w:rsidRPr="00D551C2">
              <w:rPr>
                <w:rFonts w:cs="Calibri"/>
              </w:rPr>
              <w:t>SCDC District</w:t>
            </w:r>
          </w:p>
        </w:tc>
        <w:tc>
          <w:tcPr>
            <w:tcW w:w="1417" w:type="dxa"/>
          </w:tcPr>
          <w:p w14:paraId="0B4303AC" w14:textId="77777777" w:rsidR="00FE107E" w:rsidRPr="00D551C2" w:rsidRDefault="00FE107E" w:rsidP="001F1E63">
            <w:pPr>
              <w:pStyle w:val="ListParagraph"/>
              <w:ind w:left="0"/>
              <w:jc w:val="center"/>
              <w:rPr>
                <w:rFonts w:cs="Calibri"/>
              </w:rPr>
            </w:pPr>
            <w:r w:rsidRPr="00D551C2">
              <w:rPr>
                <w:rFonts w:cs="Calibri"/>
              </w:rPr>
              <w:t>6,022</w:t>
            </w:r>
          </w:p>
        </w:tc>
        <w:tc>
          <w:tcPr>
            <w:tcW w:w="1418" w:type="dxa"/>
          </w:tcPr>
          <w:p w14:paraId="24F095AF" w14:textId="77777777" w:rsidR="00FE107E" w:rsidRPr="00D551C2" w:rsidRDefault="00FE107E" w:rsidP="001F1E63">
            <w:pPr>
              <w:pStyle w:val="ListParagraph"/>
              <w:ind w:left="0"/>
              <w:jc w:val="center"/>
              <w:rPr>
                <w:rFonts w:cs="Calibri"/>
              </w:rPr>
            </w:pPr>
            <w:r w:rsidRPr="00D551C2">
              <w:rPr>
                <w:rFonts w:cs="Calibri"/>
              </w:rPr>
              <w:t>976</w:t>
            </w:r>
          </w:p>
        </w:tc>
        <w:tc>
          <w:tcPr>
            <w:tcW w:w="1276" w:type="dxa"/>
          </w:tcPr>
          <w:p w14:paraId="3CAB16E4" w14:textId="77777777" w:rsidR="00FE107E" w:rsidRPr="00D551C2" w:rsidRDefault="00FE107E" w:rsidP="001F1E63">
            <w:pPr>
              <w:pStyle w:val="ListParagraph"/>
              <w:ind w:left="0"/>
              <w:jc w:val="center"/>
              <w:rPr>
                <w:rFonts w:cs="Calibri"/>
              </w:rPr>
            </w:pPr>
            <w:r w:rsidRPr="00D551C2">
              <w:rPr>
                <w:rFonts w:cs="Calibri"/>
              </w:rPr>
              <w:t>4,370</w:t>
            </w:r>
          </w:p>
        </w:tc>
        <w:tc>
          <w:tcPr>
            <w:tcW w:w="1275" w:type="dxa"/>
          </w:tcPr>
          <w:p w14:paraId="0A9A0B23" w14:textId="77777777" w:rsidR="00FE107E" w:rsidRPr="00D551C2" w:rsidRDefault="00FE107E" w:rsidP="001F1E63">
            <w:pPr>
              <w:pStyle w:val="ListParagraph"/>
              <w:ind w:left="0"/>
              <w:jc w:val="center"/>
              <w:rPr>
                <w:rFonts w:cs="Calibri"/>
              </w:rPr>
            </w:pPr>
            <w:r w:rsidRPr="00D551C2">
              <w:rPr>
                <w:rFonts w:cs="Calibri"/>
              </w:rPr>
              <w:t>11,368</w:t>
            </w:r>
          </w:p>
        </w:tc>
      </w:tr>
      <w:tr w:rsidR="00FE107E" w:rsidRPr="00D551C2" w14:paraId="6EA0E8DC" w14:textId="77777777" w:rsidTr="001F1E63">
        <w:tc>
          <w:tcPr>
            <w:tcW w:w="1940" w:type="dxa"/>
          </w:tcPr>
          <w:p w14:paraId="5E62A1C7" w14:textId="77777777" w:rsidR="00FE107E" w:rsidRPr="00D551C2" w:rsidRDefault="00FE107E" w:rsidP="001F1E63">
            <w:pPr>
              <w:pStyle w:val="ListParagraph"/>
              <w:ind w:left="0"/>
              <w:jc w:val="center"/>
              <w:rPr>
                <w:rFonts w:cs="Calibri"/>
              </w:rPr>
            </w:pPr>
            <w:r w:rsidRPr="00D551C2">
              <w:rPr>
                <w:rFonts w:cs="Calibri"/>
              </w:rPr>
              <w:t>SCDC Large Villages</w:t>
            </w:r>
          </w:p>
        </w:tc>
        <w:tc>
          <w:tcPr>
            <w:tcW w:w="1417" w:type="dxa"/>
          </w:tcPr>
          <w:p w14:paraId="08E547DB" w14:textId="77777777" w:rsidR="00FE107E" w:rsidRPr="00D551C2" w:rsidRDefault="00FE107E" w:rsidP="001F1E63">
            <w:pPr>
              <w:pStyle w:val="ListParagraph"/>
              <w:ind w:left="0"/>
              <w:jc w:val="center"/>
              <w:rPr>
                <w:rFonts w:cs="Calibri"/>
              </w:rPr>
            </w:pPr>
            <w:r w:rsidRPr="00D551C2">
              <w:rPr>
                <w:rFonts w:cs="Calibri"/>
              </w:rPr>
              <w:t>222</w:t>
            </w:r>
          </w:p>
        </w:tc>
        <w:tc>
          <w:tcPr>
            <w:tcW w:w="1418" w:type="dxa"/>
          </w:tcPr>
          <w:p w14:paraId="5F025A00" w14:textId="77777777" w:rsidR="00FE107E" w:rsidRPr="00D551C2" w:rsidRDefault="00FE107E" w:rsidP="001F1E63">
            <w:pPr>
              <w:pStyle w:val="ListParagraph"/>
              <w:ind w:left="0"/>
              <w:jc w:val="center"/>
              <w:rPr>
                <w:rFonts w:cs="Calibri"/>
              </w:rPr>
            </w:pPr>
            <w:r w:rsidRPr="00D551C2">
              <w:rPr>
                <w:rFonts w:cs="Calibri"/>
              </w:rPr>
              <w:t>165</w:t>
            </w:r>
          </w:p>
        </w:tc>
        <w:tc>
          <w:tcPr>
            <w:tcW w:w="1276" w:type="dxa"/>
          </w:tcPr>
          <w:p w14:paraId="784389BD" w14:textId="77777777" w:rsidR="00FE107E" w:rsidRPr="00D551C2" w:rsidRDefault="00FE107E" w:rsidP="001F1E63">
            <w:pPr>
              <w:pStyle w:val="ListParagraph"/>
              <w:ind w:left="0"/>
              <w:jc w:val="center"/>
              <w:rPr>
                <w:rFonts w:cs="Calibri"/>
              </w:rPr>
            </w:pPr>
            <w:r w:rsidRPr="00D551C2">
              <w:rPr>
                <w:rFonts w:cs="Calibri"/>
              </w:rPr>
              <w:t>411</w:t>
            </w:r>
          </w:p>
        </w:tc>
        <w:tc>
          <w:tcPr>
            <w:tcW w:w="1275" w:type="dxa"/>
          </w:tcPr>
          <w:p w14:paraId="52080C66" w14:textId="77777777" w:rsidR="00FE107E" w:rsidRDefault="00FE107E" w:rsidP="001F1E63">
            <w:pPr>
              <w:pStyle w:val="ListParagraph"/>
              <w:ind w:left="0"/>
              <w:jc w:val="center"/>
              <w:rPr>
                <w:rFonts w:cs="Calibri"/>
              </w:rPr>
            </w:pPr>
            <w:r>
              <w:rPr>
                <w:rFonts w:cs="Calibri"/>
              </w:rPr>
              <w:t>798 – 50.7%</w:t>
            </w:r>
          </w:p>
          <w:p w14:paraId="19D07EE5" w14:textId="77777777" w:rsidR="00FE107E" w:rsidRPr="00D551C2" w:rsidRDefault="00FE107E" w:rsidP="001F1E63">
            <w:pPr>
              <w:pStyle w:val="ListParagraph"/>
              <w:ind w:left="0"/>
              <w:jc w:val="center"/>
              <w:rPr>
                <w:rFonts w:cs="Calibri"/>
              </w:rPr>
            </w:pPr>
          </w:p>
        </w:tc>
      </w:tr>
      <w:tr w:rsidR="00FE107E" w:rsidRPr="00D551C2" w14:paraId="7554188F" w14:textId="77777777" w:rsidTr="001F1E63">
        <w:tc>
          <w:tcPr>
            <w:tcW w:w="1940" w:type="dxa"/>
          </w:tcPr>
          <w:p w14:paraId="2E123FAD" w14:textId="77777777" w:rsidR="00FE107E" w:rsidRPr="00D551C2" w:rsidRDefault="00FE107E" w:rsidP="001F1E63">
            <w:pPr>
              <w:pStyle w:val="ListParagraph"/>
              <w:ind w:left="0"/>
              <w:jc w:val="center"/>
              <w:rPr>
                <w:rFonts w:cs="Calibri"/>
              </w:rPr>
            </w:pPr>
            <w:r w:rsidRPr="00D551C2">
              <w:rPr>
                <w:rFonts w:cs="Calibri"/>
              </w:rPr>
              <w:t>Tri</w:t>
            </w:r>
            <w:r>
              <w:rPr>
                <w:rFonts w:cs="Calibri"/>
              </w:rPr>
              <w:t xml:space="preserve">mley St Martin </w:t>
            </w:r>
          </w:p>
        </w:tc>
        <w:tc>
          <w:tcPr>
            <w:tcW w:w="1417" w:type="dxa"/>
          </w:tcPr>
          <w:p w14:paraId="0D219E27" w14:textId="77777777" w:rsidR="00FE107E" w:rsidRPr="00D551C2" w:rsidRDefault="00FE107E" w:rsidP="001F1E63">
            <w:pPr>
              <w:pStyle w:val="ListParagraph"/>
              <w:ind w:left="0"/>
              <w:jc w:val="center"/>
              <w:rPr>
                <w:rFonts w:cs="Calibri"/>
              </w:rPr>
            </w:pPr>
            <w:r>
              <w:rPr>
                <w:rFonts w:cs="Calibri"/>
              </w:rPr>
              <w:t>161</w:t>
            </w:r>
          </w:p>
        </w:tc>
        <w:tc>
          <w:tcPr>
            <w:tcW w:w="1418" w:type="dxa"/>
          </w:tcPr>
          <w:p w14:paraId="5DBCEA86" w14:textId="77777777" w:rsidR="00FE107E" w:rsidRPr="00D551C2" w:rsidRDefault="00FE107E" w:rsidP="001F1E63">
            <w:pPr>
              <w:pStyle w:val="ListParagraph"/>
              <w:ind w:left="0"/>
              <w:jc w:val="center"/>
              <w:rPr>
                <w:rFonts w:cs="Calibri"/>
              </w:rPr>
            </w:pPr>
            <w:r w:rsidRPr="00D551C2">
              <w:rPr>
                <w:rFonts w:cs="Calibri"/>
              </w:rPr>
              <w:t>360</w:t>
            </w:r>
          </w:p>
        </w:tc>
        <w:tc>
          <w:tcPr>
            <w:tcW w:w="1276" w:type="dxa"/>
          </w:tcPr>
          <w:p w14:paraId="337E04E6" w14:textId="77777777" w:rsidR="00FE107E" w:rsidRPr="00D551C2" w:rsidRDefault="00FE107E" w:rsidP="001F1E63">
            <w:pPr>
              <w:pStyle w:val="ListParagraph"/>
              <w:ind w:left="0"/>
              <w:jc w:val="center"/>
              <w:rPr>
                <w:rFonts w:cs="Calibri"/>
              </w:rPr>
            </w:pPr>
            <w:r w:rsidRPr="00D551C2">
              <w:rPr>
                <w:rFonts w:cs="Calibri"/>
              </w:rPr>
              <w:t>150</w:t>
            </w:r>
          </w:p>
        </w:tc>
        <w:tc>
          <w:tcPr>
            <w:tcW w:w="1275" w:type="dxa"/>
          </w:tcPr>
          <w:p w14:paraId="048ECCD1" w14:textId="77777777" w:rsidR="00FE107E" w:rsidRPr="00D551C2" w:rsidRDefault="00FE107E" w:rsidP="001F1E63">
            <w:pPr>
              <w:pStyle w:val="ListParagraph"/>
              <w:ind w:left="0"/>
              <w:jc w:val="center"/>
              <w:rPr>
                <w:rFonts w:cs="Calibri"/>
              </w:rPr>
            </w:pPr>
            <w:r>
              <w:rPr>
                <w:rFonts w:cs="Calibri"/>
              </w:rPr>
              <w:t>671 – 42.6%</w:t>
            </w:r>
          </w:p>
        </w:tc>
      </w:tr>
      <w:tr w:rsidR="00FE107E" w:rsidRPr="00D551C2" w14:paraId="096BFEEF" w14:textId="77777777" w:rsidTr="001F1E63">
        <w:tc>
          <w:tcPr>
            <w:tcW w:w="1940" w:type="dxa"/>
          </w:tcPr>
          <w:p w14:paraId="363F0D5A" w14:textId="77777777" w:rsidR="00FE107E" w:rsidRPr="00D551C2" w:rsidRDefault="00FE107E" w:rsidP="001F1E63">
            <w:pPr>
              <w:pStyle w:val="ListParagraph"/>
              <w:ind w:left="0"/>
              <w:jc w:val="center"/>
              <w:rPr>
                <w:rFonts w:cs="Calibri"/>
              </w:rPr>
            </w:pPr>
            <w:r>
              <w:rPr>
                <w:rFonts w:cs="Calibri"/>
              </w:rPr>
              <w:t>Trimley St Mary</w:t>
            </w:r>
          </w:p>
        </w:tc>
        <w:tc>
          <w:tcPr>
            <w:tcW w:w="1417" w:type="dxa"/>
          </w:tcPr>
          <w:p w14:paraId="2BF002A6" w14:textId="77777777" w:rsidR="00FE107E" w:rsidRPr="00D551C2" w:rsidRDefault="00FE107E" w:rsidP="001F1E63">
            <w:pPr>
              <w:pStyle w:val="ListParagraph"/>
              <w:ind w:left="0"/>
              <w:jc w:val="center"/>
              <w:rPr>
                <w:rFonts w:cs="Calibri"/>
              </w:rPr>
            </w:pPr>
            <w:r>
              <w:rPr>
                <w:rFonts w:cs="Calibri"/>
              </w:rPr>
              <w:t>105</w:t>
            </w:r>
          </w:p>
        </w:tc>
        <w:tc>
          <w:tcPr>
            <w:tcW w:w="1418" w:type="dxa"/>
          </w:tcPr>
          <w:p w14:paraId="31A262B0" w14:textId="77777777" w:rsidR="00FE107E" w:rsidRPr="00D551C2" w:rsidRDefault="00FE107E" w:rsidP="001F1E63">
            <w:pPr>
              <w:pStyle w:val="ListParagraph"/>
              <w:ind w:left="0"/>
              <w:jc w:val="center"/>
              <w:rPr>
                <w:rFonts w:cs="Calibri"/>
              </w:rPr>
            </w:pPr>
            <w:r>
              <w:rPr>
                <w:rFonts w:cs="Calibri"/>
              </w:rPr>
              <w:t>0</w:t>
            </w:r>
          </w:p>
        </w:tc>
        <w:tc>
          <w:tcPr>
            <w:tcW w:w="1276" w:type="dxa"/>
          </w:tcPr>
          <w:p w14:paraId="3DB0BF3F" w14:textId="77777777" w:rsidR="00FE107E" w:rsidRPr="00D551C2" w:rsidRDefault="00FE107E" w:rsidP="001F1E63">
            <w:pPr>
              <w:pStyle w:val="ListParagraph"/>
              <w:ind w:left="0"/>
              <w:jc w:val="center"/>
              <w:rPr>
                <w:rFonts w:cs="Calibri"/>
              </w:rPr>
            </w:pPr>
            <w:r>
              <w:rPr>
                <w:rFonts w:cs="Calibri"/>
              </w:rPr>
              <w:t>105</w:t>
            </w:r>
          </w:p>
        </w:tc>
        <w:tc>
          <w:tcPr>
            <w:tcW w:w="1275" w:type="dxa"/>
          </w:tcPr>
          <w:p w14:paraId="40A5AE66" w14:textId="77777777" w:rsidR="00FE107E" w:rsidRDefault="00FE107E" w:rsidP="001F1E63">
            <w:pPr>
              <w:pStyle w:val="ListParagraph"/>
              <w:ind w:left="0"/>
              <w:jc w:val="center"/>
              <w:rPr>
                <w:rFonts w:cs="Calibri"/>
              </w:rPr>
            </w:pPr>
            <w:r>
              <w:rPr>
                <w:rFonts w:cs="Calibri"/>
              </w:rPr>
              <w:t xml:space="preserve">105 – </w:t>
            </w:r>
          </w:p>
          <w:p w14:paraId="2F206914" w14:textId="77777777" w:rsidR="00FE107E" w:rsidRDefault="00FE107E" w:rsidP="001F1E63">
            <w:pPr>
              <w:pStyle w:val="ListParagraph"/>
              <w:ind w:left="0"/>
              <w:jc w:val="center"/>
              <w:rPr>
                <w:rFonts w:cs="Calibri"/>
              </w:rPr>
            </w:pPr>
            <w:r>
              <w:rPr>
                <w:rFonts w:cs="Calibri"/>
              </w:rPr>
              <w:t>6.7%</w:t>
            </w:r>
          </w:p>
        </w:tc>
      </w:tr>
      <w:tr w:rsidR="00FE107E" w:rsidRPr="00D551C2" w14:paraId="27C00A95" w14:textId="77777777" w:rsidTr="001F1E63">
        <w:tc>
          <w:tcPr>
            <w:tcW w:w="1940" w:type="dxa"/>
          </w:tcPr>
          <w:p w14:paraId="0F1FC210" w14:textId="77777777" w:rsidR="00FE107E" w:rsidRPr="00D551C2" w:rsidRDefault="00FE107E" w:rsidP="001F1E63">
            <w:pPr>
              <w:pStyle w:val="ListParagraph"/>
              <w:ind w:left="0"/>
              <w:jc w:val="center"/>
              <w:rPr>
                <w:rFonts w:cs="Calibri"/>
              </w:rPr>
            </w:pPr>
            <w:r>
              <w:rPr>
                <w:rFonts w:cs="Calibri"/>
              </w:rPr>
              <w:t>Total Large Villages - SCDC district</w:t>
            </w:r>
          </w:p>
        </w:tc>
        <w:tc>
          <w:tcPr>
            <w:tcW w:w="1417" w:type="dxa"/>
          </w:tcPr>
          <w:p w14:paraId="50648BDF" w14:textId="77777777" w:rsidR="00FE107E" w:rsidRPr="00D551C2" w:rsidRDefault="00FE107E" w:rsidP="001F1E63">
            <w:pPr>
              <w:pStyle w:val="ListParagraph"/>
              <w:ind w:left="0"/>
              <w:jc w:val="center"/>
              <w:rPr>
                <w:rFonts w:cs="Calibri"/>
              </w:rPr>
            </w:pPr>
            <w:r>
              <w:rPr>
                <w:rFonts w:cs="Calibri"/>
              </w:rPr>
              <w:t>488</w:t>
            </w:r>
          </w:p>
        </w:tc>
        <w:tc>
          <w:tcPr>
            <w:tcW w:w="1418" w:type="dxa"/>
          </w:tcPr>
          <w:p w14:paraId="3C56BC5C" w14:textId="77777777" w:rsidR="00FE107E" w:rsidRPr="00D551C2" w:rsidRDefault="00FE107E" w:rsidP="001F1E63">
            <w:pPr>
              <w:pStyle w:val="ListParagraph"/>
              <w:ind w:left="0"/>
              <w:jc w:val="center"/>
              <w:rPr>
                <w:rFonts w:cs="Calibri"/>
              </w:rPr>
            </w:pPr>
            <w:r>
              <w:rPr>
                <w:rFonts w:cs="Calibri"/>
              </w:rPr>
              <w:t>525</w:t>
            </w:r>
          </w:p>
        </w:tc>
        <w:tc>
          <w:tcPr>
            <w:tcW w:w="1276" w:type="dxa"/>
          </w:tcPr>
          <w:p w14:paraId="6684E0CC" w14:textId="77777777" w:rsidR="00FE107E" w:rsidRPr="00D551C2" w:rsidRDefault="00FE107E" w:rsidP="001F1E63">
            <w:pPr>
              <w:pStyle w:val="ListParagraph"/>
              <w:ind w:left="0"/>
              <w:jc w:val="center"/>
              <w:rPr>
                <w:rFonts w:cs="Calibri"/>
              </w:rPr>
            </w:pPr>
            <w:r>
              <w:rPr>
                <w:rFonts w:cs="Calibri"/>
              </w:rPr>
              <w:t>561</w:t>
            </w:r>
          </w:p>
        </w:tc>
        <w:tc>
          <w:tcPr>
            <w:tcW w:w="1275" w:type="dxa"/>
          </w:tcPr>
          <w:p w14:paraId="12B0E7FA" w14:textId="77777777" w:rsidR="00FE107E" w:rsidRPr="00D551C2" w:rsidRDefault="00FE107E" w:rsidP="001F1E63">
            <w:pPr>
              <w:pStyle w:val="ListParagraph"/>
              <w:ind w:left="0"/>
              <w:jc w:val="center"/>
              <w:rPr>
                <w:rFonts w:cs="Calibri"/>
              </w:rPr>
            </w:pPr>
            <w:r>
              <w:rPr>
                <w:rFonts w:cs="Calibri"/>
              </w:rPr>
              <w:t>1,574</w:t>
            </w:r>
          </w:p>
        </w:tc>
      </w:tr>
    </w:tbl>
    <w:p w14:paraId="73943916" w14:textId="77777777" w:rsidR="00844887" w:rsidRDefault="00844887" w:rsidP="00FE107E">
      <w:pPr>
        <w:contextualSpacing/>
        <w:jc w:val="both"/>
        <w:rPr>
          <w:rFonts w:cs="Calibri"/>
        </w:rPr>
      </w:pPr>
    </w:p>
    <w:p w14:paraId="185EF7FB" w14:textId="77777777" w:rsidR="00844887" w:rsidRDefault="00844887" w:rsidP="00FE107E">
      <w:pPr>
        <w:contextualSpacing/>
        <w:jc w:val="both"/>
        <w:rPr>
          <w:rFonts w:cs="Calibri"/>
        </w:rPr>
      </w:pPr>
    </w:p>
    <w:p w14:paraId="0E5C1CBF" w14:textId="77777777" w:rsidR="00844887" w:rsidRPr="00844887" w:rsidRDefault="001C308F" w:rsidP="00263EBB">
      <w:pPr>
        <w:numPr>
          <w:ilvl w:val="0"/>
          <w:numId w:val="1"/>
        </w:numPr>
        <w:contextualSpacing/>
        <w:jc w:val="both"/>
        <w:rPr>
          <w:rFonts w:cs="Calibri"/>
        </w:rPr>
      </w:pPr>
      <w:r w:rsidRPr="0004754D">
        <w:rPr>
          <w:rFonts w:cs="Calibri"/>
        </w:rPr>
        <w:t xml:space="preserve">According to </w:t>
      </w:r>
      <w:r w:rsidR="00844887">
        <w:rPr>
          <w:rFonts w:cs="Calibri"/>
        </w:rPr>
        <w:t>the above t</w:t>
      </w:r>
      <w:r w:rsidRPr="0004754D">
        <w:rPr>
          <w:rFonts w:cs="Calibri"/>
        </w:rPr>
        <w:t xml:space="preserve">able the </w:t>
      </w:r>
      <w:r w:rsidR="00B91E3E">
        <w:rPr>
          <w:rFonts w:cs="Calibri"/>
        </w:rPr>
        <w:t xml:space="preserve">Cumulative </w:t>
      </w:r>
      <w:r w:rsidRPr="0004754D">
        <w:rPr>
          <w:rFonts w:cs="Calibri"/>
        </w:rPr>
        <w:t xml:space="preserve">Indicative Contribution to the 2018 – 2036 housing </w:t>
      </w:r>
      <w:r w:rsidR="00B91E3E">
        <w:rPr>
          <w:rFonts w:cs="Calibri"/>
        </w:rPr>
        <w:t xml:space="preserve">destined for </w:t>
      </w:r>
      <w:r w:rsidRPr="0004754D">
        <w:rPr>
          <w:rFonts w:cs="Calibri"/>
        </w:rPr>
        <w:t>Large Villages is 1,574 – 13.8% of the total</w:t>
      </w:r>
      <w:r w:rsidR="00B91E3E">
        <w:rPr>
          <w:rFonts w:cs="Calibri"/>
        </w:rPr>
        <w:t xml:space="preserve"> sum of 11,368 across the District</w:t>
      </w:r>
      <w:r w:rsidRPr="0004754D">
        <w:rPr>
          <w:rFonts w:cs="Calibri"/>
        </w:rPr>
        <w:t>. The contribution from Trimley St Martin and Trimley St Mary is 776 – a whopping 49% of th</w:t>
      </w:r>
      <w:r w:rsidR="00B91E3E">
        <w:rPr>
          <w:rFonts w:cs="Calibri"/>
        </w:rPr>
        <w:t xml:space="preserve">e ‘Large Village’ </w:t>
      </w:r>
      <w:r w:rsidRPr="0004754D">
        <w:rPr>
          <w:rFonts w:cs="Calibri"/>
        </w:rPr>
        <w:t>total</w:t>
      </w:r>
      <w:r w:rsidR="00B91E3E">
        <w:rPr>
          <w:rFonts w:cs="Calibri"/>
        </w:rPr>
        <w:t>.</w:t>
      </w:r>
      <w:r w:rsidR="00844887">
        <w:rPr>
          <w:rFonts w:cs="Calibri"/>
        </w:rPr>
        <w:t xml:space="preserve"> </w:t>
      </w:r>
      <w:r w:rsidR="00844887" w:rsidRPr="0004754D">
        <w:rPr>
          <w:rFonts w:cs="Calibri"/>
          <w:color w:val="26282A"/>
          <w:lang w:val="en-US"/>
        </w:rPr>
        <w:t>No other ‘Large Village’ has been singled out in such a way.</w:t>
      </w:r>
      <w:r w:rsidR="00844887">
        <w:rPr>
          <w:rFonts w:cs="Calibri"/>
          <w:color w:val="26282A"/>
          <w:lang w:val="en-US"/>
        </w:rPr>
        <w:t xml:space="preserve">  </w:t>
      </w:r>
    </w:p>
    <w:p w14:paraId="7EC78694" w14:textId="77777777" w:rsidR="00844887" w:rsidRDefault="00844887" w:rsidP="00844887">
      <w:pPr>
        <w:contextualSpacing/>
        <w:jc w:val="both"/>
        <w:rPr>
          <w:rFonts w:cs="Calibri"/>
        </w:rPr>
      </w:pPr>
    </w:p>
    <w:p w14:paraId="4782C8A3" w14:textId="77777777" w:rsidR="00844887" w:rsidRPr="00DC23EB" w:rsidRDefault="00844887" w:rsidP="00263EBB">
      <w:pPr>
        <w:numPr>
          <w:ilvl w:val="0"/>
          <w:numId w:val="1"/>
        </w:numPr>
        <w:contextualSpacing/>
        <w:jc w:val="both"/>
        <w:rPr>
          <w:rFonts w:cs="Calibri"/>
        </w:rPr>
      </w:pPr>
      <w:r>
        <w:rPr>
          <w:rFonts w:cs="Calibri"/>
        </w:rPr>
        <w:t xml:space="preserve">In </w:t>
      </w:r>
      <w:proofErr w:type="gramStart"/>
      <w:r>
        <w:rPr>
          <w:rFonts w:cs="Calibri"/>
        </w:rPr>
        <w:t>fact</w:t>
      </w:r>
      <w:proofErr w:type="gramEnd"/>
      <w:r>
        <w:rPr>
          <w:rFonts w:cs="Calibri"/>
        </w:rPr>
        <w:t xml:space="preserve"> the total is greater than that apportioned to all of the Market Towns with the exception of </w:t>
      </w:r>
      <w:proofErr w:type="spellStart"/>
      <w:r>
        <w:rPr>
          <w:rFonts w:cs="Calibri"/>
        </w:rPr>
        <w:t>Saxmundham</w:t>
      </w:r>
      <w:proofErr w:type="spellEnd"/>
      <w:r>
        <w:rPr>
          <w:rFonts w:cs="Calibri"/>
        </w:rPr>
        <w:t xml:space="preserve">. </w:t>
      </w:r>
    </w:p>
    <w:p w14:paraId="7F57EC34" w14:textId="77777777" w:rsidR="00844887" w:rsidRDefault="00844887" w:rsidP="00844887">
      <w:pPr>
        <w:ind w:left="720"/>
        <w:contextualSpacing/>
        <w:jc w:val="both"/>
        <w:rPr>
          <w:rFonts w:cs="Calibri"/>
        </w:rPr>
      </w:pPr>
    </w:p>
    <w:p w14:paraId="6B0D82AB" w14:textId="77777777" w:rsidR="001C308F" w:rsidRPr="00D0374A" w:rsidRDefault="00844887" w:rsidP="00263EBB">
      <w:pPr>
        <w:numPr>
          <w:ilvl w:val="0"/>
          <w:numId w:val="1"/>
        </w:numPr>
        <w:contextualSpacing/>
        <w:jc w:val="both"/>
        <w:rPr>
          <w:rFonts w:cs="Calibri"/>
        </w:rPr>
      </w:pPr>
      <w:r>
        <w:rPr>
          <w:rFonts w:cs="Calibri"/>
        </w:rPr>
        <w:t>Looking at the Trimley Villages from another perspective, that of a significant increase</w:t>
      </w:r>
      <w:r w:rsidR="00283611">
        <w:rPr>
          <w:rFonts w:cs="Calibri"/>
        </w:rPr>
        <w:t xml:space="preserve"> in traffic, particularly at a</w:t>
      </w:r>
      <w:r>
        <w:rPr>
          <w:rFonts w:cs="Calibri"/>
        </w:rPr>
        <w:t xml:space="preserve"> pinch point at the roundabout </w:t>
      </w:r>
      <w:r w:rsidR="00D0374A">
        <w:rPr>
          <w:rFonts w:cs="Calibri"/>
        </w:rPr>
        <w:t xml:space="preserve">by High Road and Howlett Way. </w:t>
      </w:r>
      <w:r>
        <w:rPr>
          <w:rFonts w:cs="Calibri"/>
        </w:rPr>
        <w:t xml:space="preserve">  </w:t>
      </w:r>
      <w:r w:rsidR="001C308F">
        <w:rPr>
          <w:rFonts w:cs="Calibri"/>
        </w:rPr>
        <w:t>Completed development and e</w:t>
      </w:r>
      <w:r w:rsidR="001C308F" w:rsidRPr="0004754D">
        <w:rPr>
          <w:rFonts w:cs="Calibri"/>
        </w:rPr>
        <w:t xml:space="preserve">xisting development approvals in </w:t>
      </w:r>
      <w:r w:rsidR="00D0374A">
        <w:rPr>
          <w:rFonts w:cs="Calibri"/>
        </w:rPr>
        <w:t xml:space="preserve">The Villages realise approx 730 being sited </w:t>
      </w:r>
      <w:r w:rsidR="001C308F" w:rsidRPr="00D0374A">
        <w:rPr>
          <w:rFonts w:cs="Calibri"/>
        </w:rPr>
        <w:t>within approx 650m of the roundabout and a further 70 dwellings in the same general locality within 1000m of the</w:t>
      </w:r>
      <w:r w:rsidR="00855B5E" w:rsidRPr="00D0374A">
        <w:rPr>
          <w:rFonts w:cs="Calibri"/>
        </w:rPr>
        <w:t xml:space="preserve"> same</w:t>
      </w:r>
      <w:r w:rsidR="001C308F" w:rsidRPr="00D0374A">
        <w:rPr>
          <w:rFonts w:cs="Calibri"/>
        </w:rPr>
        <w:t xml:space="preserve"> roundabout.</w:t>
      </w:r>
      <w:r w:rsidR="0033324B">
        <w:rPr>
          <w:rFonts w:cs="Calibri"/>
        </w:rPr>
        <w:t xml:space="preserve">   </w:t>
      </w:r>
    </w:p>
    <w:p w14:paraId="005ADD06" w14:textId="77777777" w:rsidR="001C308F" w:rsidRPr="00657F96" w:rsidRDefault="001C308F" w:rsidP="001C308F">
      <w:pPr>
        <w:contextualSpacing/>
        <w:jc w:val="both"/>
        <w:rPr>
          <w:rFonts w:cs="Calibri"/>
        </w:rPr>
      </w:pPr>
    </w:p>
    <w:p w14:paraId="38DDEF3F" w14:textId="77777777" w:rsidR="00283611" w:rsidRPr="00283611" w:rsidRDefault="001C308F" w:rsidP="00263EBB">
      <w:pPr>
        <w:numPr>
          <w:ilvl w:val="0"/>
          <w:numId w:val="1"/>
        </w:numPr>
        <w:contextualSpacing/>
        <w:jc w:val="both"/>
        <w:rPr>
          <w:rFonts w:cs="Calibri"/>
        </w:rPr>
      </w:pPr>
      <w:r w:rsidRPr="00657F96">
        <w:rPr>
          <w:rFonts w:cs="Calibri"/>
        </w:rPr>
        <w:t>In 2011 the Trimley Census population figure was circa. 1940.</w:t>
      </w:r>
      <w:r w:rsidRPr="00E364EC">
        <w:rPr>
          <w:rFonts w:cs="Calibri"/>
          <w:lang w:val="en-US"/>
        </w:rPr>
        <w:t xml:space="preserve">The </w:t>
      </w:r>
      <w:r w:rsidRPr="00233758">
        <w:rPr>
          <w:rFonts w:cs="Calibri"/>
        </w:rPr>
        <w:t>existing and prop</w:t>
      </w:r>
      <w:r w:rsidRPr="004D1586">
        <w:rPr>
          <w:rFonts w:cs="Calibri"/>
        </w:rPr>
        <w:t xml:space="preserve">osed developments </w:t>
      </w:r>
      <w:r w:rsidRPr="003935A3">
        <w:rPr>
          <w:rFonts w:cs="Calibri"/>
        </w:rPr>
        <w:t xml:space="preserve">in </w:t>
      </w:r>
      <w:r w:rsidR="00283611">
        <w:rPr>
          <w:rFonts w:cs="Calibri"/>
        </w:rPr>
        <w:t>The Villages represent</w:t>
      </w:r>
      <w:r w:rsidRPr="003935A3">
        <w:rPr>
          <w:rFonts w:cs="Calibri"/>
        </w:rPr>
        <w:t xml:space="preserve"> an increase of approx</w:t>
      </w:r>
      <w:r w:rsidRPr="00E364EC">
        <w:rPr>
          <w:rFonts w:cs="Calibri"/>
        </w:rPr>
        <w:t>imately 1900 people – almost doubling the population</w:t>
      </w:r>
    </w:p>
    <w:p w14:paraId="353002FB" w14:textId="77777777" w:rsidR="00283611" w:rsidRPr="00627BA1" w:rsidRDefault="00283611" w:rsidP="00283611">
      <w:pPr>
        <w:ind w:left="720"/>
        <w:contextualSpacing/>
        <w:jc w:val="both"/>
        <w:rPr>
          <w:rFonts w:cs="Calibri"/>
        </w:rPr>
      </w:pPr>
    </w:p>
    <w:p w14:paraId="284A721E" w14:textId="06E67BD7" w:rsidR="001C308F" w:rsidRPr="00431C8B" w:rsidRDefault="001C308F" w:rsidP="00431C8B">
      <w:pPr>
        <w:numPr>
          <w:ilvl w:val="0"/>
          <w:numId w:val="1"/>
        </w:numPr>
        <w:contextualSpacing/>
        <w:jc w:val="both"/>
        <w:rPr>
          <w:rFonts w:cs="Calibri"/>
        </w:rPr>
      </w:pPr>
      <w:r>
        <w:rPr>
          <w:rFonts w:cs="Calibri"/>
        </w:rPr>
        <w:t xml:space="preserve">The following Table describes the growth in population from 2001 to 2011 plus and estimated population as at 2017 with data taken from the Office </w:t>
      </w:r>
      <w:proofErr w:type="gramStart"/>
      <w:r>
        <w:rPr>
          <w:rFonts w:cs="Calibri"/>
        </w:rPr>
        <w:t>For</w:t>
      </w:r>
      <w:proofErr w:type="gramEnd"/>
      <w:r>
        <w:rPr>
          <w:rFonts w:cs="Calibri"/>
        </w:rPr>
        <w:t xml:space="preserve"> National Statistics</w:t>
      </w:r>
    </w:p>
    <w:p w14:paraId="4B08B2DA" w14:textId="77777777" w:rsidR="001C308F" w:rsidRDefault="001C308F" w:rsidP="001C308F">
      <w:pPr>
        <w:pStyle w:val="ListParagraph"/>
        <w:rPr>
          <w:rFonts w:cs="Calibri"/>
        </w:rPr>
      </w:pPr>
      <w:r>
        <w:rPr>
          <w:rFonts w:cs="Calibri"/>
        </w:rPr>
        <w:t>Growth in Population 2011 – 2036 as provided by Office for National Statistics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1263"/>
        <w:gridCol w:w="1198"/>
        <w:gridCol w:w="1241"/>
        <w:gridCol w:w="1191"/>
        <w:gridCol w:w="1194"/>
        <w:gridCol w:w="1191"/>
      </w:tblGrid>
      <w:tr w:rsidR="001C308F" w:rsidRPr="0077476F" w14:paraId="6CA36825" w14:textId="77777777" w:rsidTr="00741075">
        <w:tc>
          <w:tcPr>
            <w:tcW w:w="1244" w:type="dxa"/>
          </w:tcPr>
          <w:p w14:paraId="27C239C0" w14:textId="77777777" w:rsidR="001C308F" w:rsidRPr="00D634A2" w:rsidRDefault="001C308F" w:rsidP="00741075">
            <w:pPr>
              <w:pStyle w:val="ListParagraph"/>
              <w:ind w:left="0"/>
              <w:rPr>
                <w:rFonts w:cs="Calibri"/>
                <w:color w:val="4F81BD"/>
              </w:rPr>
            </w:pPr>
          </w:p>
        </w:tc>
        <w:tc>
          <w:tcPr>
            <w:tcW w:w="1263" w:type="dxa"/>
          </w:tcPr>
          <w:p w14:paraId="612E4B72" w14:textId="77777777" w:rsidR="001C308F" w:rsidRPr="00D175B0" w:rsidRDefault="001C308F" w:rsidP="00741075">
            <w:pPr>
              <w:pStyle w:val="ListParagraph"/>
              <w:ind w:left="0"/>
              <w:jc w:val="center"/>
              <w:rPr>
                <w:rFonts w:cs="Calibri"/>
                <w:color w:val="4F81BD"/>
              </w:rPr>
            </w:pPr>
            <w:r>
              <w:rPr>
                <w:rFonts w:cs="Calibri"/>
                <w:color w:val="4F81BD"/>
              </w:rPr>
              <w:t>Population 2001</w:t>
            </w:r>
          </w:p>
        </w:tc>
        <w:tc>
          <w:tcPr>
            <w:tcW w:w="1198" w:type="dxa"/>
          </w:tcPr>
          <w:p w14:paraId="4811464E" w14:textId="77777777" w:rsidR="001C308F" w:rsidRPr="00D634A2" w:rsidRDefault="001C308F" w:rsidP="00741075">
            <w:pPr>
              <w:pStyle w:val="ListParagraph"/>
              <w:ind w:left="0"/>
              <w:jc w:val="center"/>
              <w:rPr>
                <w:rFonts w:cs="Calibri"/>
                <w:b/>
                <w:color w:val="4F81BD"/>
              </w:rPr>
            </w:pPr>
            <w:r>
              <w:rPr>
                <w:rFonts w:cs="Calibri"/>
                <w:color w:val="4F81BD"/>
              </w:rPr>
              <w:t>Population 20</w:t>
            </w:r>
            <w:r w:rsidRPr="00D175B0">
              <w:rPr>
                <w:rFonts w:cs="Calibri"/>
                <w:color w:val="4F81BD"/>
              </w:rPr>
              <w:t>11 Census</w:t>
            </w:r>
          </w:p>
        </w:tc>
        <w:tc>
          <w:tcPr>
            <w:tcW w:w="1241" w:type="dxa"/>
          </w:tcPr>
          <w:p w14:paraId="59C2FBC5" w14:textId="77777777" w:rsidR="001C308F" w:rsidRPr="00FC00CE" w:rsidRDefault="001C308F" w:rsidP="00741075">
            <w:pPr>
              <w:pStyle w:val="ListParagraph"/>
              <w:ind w:left="0"/>
              <w:jc w:val="center"/>
              <w:rPr>
                <w:rFonts w:cs="Calibri"/>
                <w:color w:val="4F81BD"/>
              </w:rPr>
            </w:pPr>
            <w:r>
              <w:rPr>
                <w:rFonts w:cs="Calibri"/>
                <w:color w:val="4F81BD"/>
              </w:rPr>
              <w:t xml:space="preserve">% </w:t>
            </w:r>
            <w:r w:rsidRPr="00FC00CE">
              <w:rPr>
                <w:rFonts w:cs="Calibri"/>
                <w:color w:val="4F81BD"/>
              </w:rPr>
              <w:t xml:space="preserve">Population growth </w:t>
            </w:r>
            <w:r>
              <w:rPr>
                <w:rFonts w:cs="Calibri"/>
                <w:color w:val="4F81BD"/>
              </w:rPr>
              <w:t xml:space="preserve">2001 - </w:t>
            </w:r>
            <w:r w:rsidRPr="00FC00CE">
              <w:rPr>
                <w:rFonts w:cs="Calibri"/>
                <w:color w:val="4F81BD"/>
              </w:rPr>
              <w:t>2011</w:t>
            </w:r>
          </w:p>
        </w:tc>
        <w:tc>
          <w:tcPr>
            <w:tcW w:w="1191" w:type="dxa"/>
          </w:tcPr>
          <w:p w14:paraId="2841A1D0" w14:textId="77777777" w:rsidR="001C308F" w:rsidRPr="001C10C2" w:rsidRDefault="001C308F" w:rsidP="00741075">
            <w:pPr>
              <w:pStyle w:val="ListParagraph"/>
              <w:ind w:left="0"/>
              <w:jc w:val="center"/>
              <w:rPr>
                <w:rFonts w:cs="Calibri"/>
                <w:color w:val="4F81BD"/>
              </w:rPr>
            </w:pPr>
            <w:r>
              <w:rPr>
                <w:rFonts w:cs="Calibri"/>
                <w:color w:val="4F81BD"/>
              </w:rPr>
              <w:t>Estimated p</w:t>
            </w:r>
            <w:r w:rsidRPr="00F47A33">
              <w:rPr>
                <w:rFonts w:cs="Calibri"/>
                <w:color w:val="4F81BD"/>
              </w:rPr>
              <w:t xml:space="preserve">opulation </w:t>
            </w:r>
            <w:r>
              <w:rPr>
                <w:rFonts w:cs="Calibri"/>
                <w:color w:val="4F81BD"/>
              </w:rPr>
              <w:t>as at 2017</w:t>
            </w:r>
          </w:p>
        </w:tc>
        <w:tc>
          <w:tcPr>
            <w:tcW w:w="1194" w:type="dxa"/>
          </w:tcPr>
          <w:p w14:paraId="78E97BF4" w14:textId="77777777" w:rsidR="001C308F" w:rsidRPr="001C10C2" w:rsidRDefault="001C308F" w:rsidP="00741075">
            <w:pPr>
              <w:pStyle w:val="ListParagraph"/>
              <w:ind w:left="0"/>
              <w:jc w:val="center"/>
              <w:rPr>
                <w:rFonts w:cs="Calibri"/>
                <w:color w:val="4F81BD"/>
              </w:rPr>
            </w:pPr>
            <w:r>
              <w:rPr>
                <w:rFonts w:cs="Calibri"/>
                <w:color w:val="4F81BD"/>
              </w:rPr>
              <w:t xml:space="preserve">% Estimated population growth 2011 - 2017 </w:t>
            </w:r>
          </w:p>
        </w:tc>
        <w:tc>
          <w:tcPr>
            <w:tcW w:w="1191" w:type="dxa"/>
          </w:tcPr>
          <w:p w14:paraId="30454637" w14:textId="77777777" w:rsidR="001C308F" w:rsidRDefault="001C308F" w:rsidP="00741075">
            <w:pPr>
              <w:pStyle w:val="ListParagraph"/>
              <w:ind w:left="0"/>
              <w:jc w:val="center"/>
              <w:rPr>
                <w:rFonts w:cs="Calibri"/>
                <w:color w:val="4F81BD"/>
              </w:rPr>
            </w:pPr>
            <w:r>
              <w:rPr>
                <w:rFonts w:cs="Calibri"/>
                <w:color w:val="4F81BD"/>
              </w:rPr>
              <w:t>% Estimated population growth 2001 - 2017</w:t>
            </w:r>
          </w:p>
        </w:tc>
      </w:tr>
      <w:tr w:rsidR="001C308F" w:rsidRPr="0077476F" w14:paraId="744325DC" w14:textId="77777777" w:rsidTr="00741075">
        <w:tc>
          <w:tcPr>
            <w:tcW w:w="1244" w:type="dxa"/>
          </w:tcPr>
          <w:p w14:paraId="53DF4E2C" w14:textId="77777777" w:rsidR="001C308F" w:rsidRPr="0077476F" w:rsidRDefault="001C308F" w:rsidP="00741075">
            <w:pPr>
              <w:pStyle w:val="ListParagraph"/>
              <w:ind w:left="0"/>
              <w:rPr>
                <w:rFonts w:cs="Calibri"/>
              </w:rPr>
            </w:pPr>
            <w:r w:rsidRPr="0077476F">
              <w:rPr>
                <w:rFonts w:cs="Calibri"/>
              </w:rPr>
              <w:t>SCDC District</w:t>
            </w:r>
          </w:p>
        </w:tc>
        <w:tc>
          <w:tcPr>
            <w:tcW w:w="1263" w:type="dxa"/>
          </w:tcPr>
          <w:p w14:paraId="38C6DC34" w14:textId="77777777" w:rsidR="001C308F" w:rsidRPr="0077476F" w:rsidRDefault="001C308F" w:rsidP="00741075">
            <w:pPr>
              <w:pStyle w:val="ListParagraph"/>
              <w:ind w:left="0"/>
              <w:jc w:val="center"/>
              <w:rPr>
                <w:rFonts w:cs="Calibri"/>
              </w:rPr>
            </w:pPr>
            <w:r>
              <w:rPr>
                <w:rFonts w:cs="Calibri"/>
              </w:rPr>
              <w:t>115,239</w:t>
            </w:r>
          </w:p>
        </w:tc>
        <w:tc>
          <w:tcPr>
            <w:tcW w:w="1198" w:type="dxa"/>
          </w:tcPr>
          <w:p w14:paraId="3FFA9826" w14:textId="77777777" w:rsidR="001C308F" w:rsidRPr="0077476F" w:rsidRDefault="001C308F" w:rsidP="00741075">
            <w:pPr>
              <w:pStyle w:val="ListParagraph"/>
              <w:ind w:left="0"/>
              <w:jc w:val="center"/>
              <w:rPr>
                <w:rFonts w:cs="Calibri"/>
              </w:rPr>
            </w:pPr>
            <w:r>
              <w:rPr>
                <w:rFonts w:cs="Calibri"/>
              </w:rPr>
              <w:t>124,590 (+9,351)</w:t>
            </w:r>
          </w:p>
        </w:tc>
        <w:tc>
          <w:tcPr>
            <w:tcW w:w="1241" w:type="dxa"/>
          </w:tcPr>
          <w:p w14:paraId="0BABBACE" w14:textId="77777777" w:rsidR="001C308F" w:rsidRPr="0077476F" w:rsidRDefault="001C308F" w:rsidP="00741075">
            <w:pPr>
              <w:pStyle w:val="ListParagraph"/>
              <w:ind w:left="0"/>
              <w:jc w:val="center"/>
              <w:rPr>
                <w:rFonts w:cs="Calibri"/>
              </w:rPr>
            </w:pPr>
            <w:r>
              <w:rPr>
                <w:rFonts w:cs="Calibri"/>
              </w:rPr>
              <w:t>8.1</w:t>
            </w:r>
          </w:p>
        </w:tc>
        <w:tc>
          <w:tcPr>
            <w:tcW w:w="1191" w:type="dxa"/>
          </w:tcPr>
          <w:p w14:paraId="562A31DF" w14:textId="77777777" w:rsidR="001C308F" w:rsidRPr="0077476F" w:rsidRDefault="001C308F" w:rsidP="00741075">
            <w:pPr>
              <w:pStyle w:val="ListParagraph"/>
              <w:ind w:left="0"/>
              <w:jc w:val="center"/>
              <w:rPr>
                <w:rFonts w:cs="Calibri"/>
              </w:rPr>
            </w:pPr>
            <w:r>
              <w:rPr>
                <w:rFonts w:cs="Calibri"/>
              </w:rPr>
              <w:t>129,018 (+4,428)</w:t>
            </w:r>
          </w:p>
        </w:tc>
        <w:tc>
          <w:tcPr>
            <w:tcW w:w="1194" w:type="dxa"/>
          </w:tcPr>
          <w:p w14:paraId="2BC82B54" w14:textId="77777777" w:rsidR="001C308F" w:rsidRPr="0077476F" w:rsidRDefault="001C308F" w:rsidP="00741075">
            <w:pPr>
              <w:pStyle w:val="ListParagraph"/>
              <w:ind w:left="0"/>
              <w:jc w:val="center"/>
              <w:rPr>
                <w:rFonts w:cs="Calibri"/>
              </w:rPr>
            </w:pPr>
            <w:r>
              <w:rPr>
                <w:rFonts w:cs="Calibri"/>
              </w:rPr>
              <w:t>3.5</w:t>
            </w:r>
          </w:p>
        </w:tc>
        <w:tc>
          <w:tcPr>
            <w:tcW w:w="1191" w:type="dxa"/>
          </w:tcPr>
          <w:p w14:paraId="3932FDE6" w14:textId="77777777" w:rsidR="001C308F" w:rsidRDefault="001C308F" w:rsidP="00741075">
            <w:pPr>
              <w:pStyle w:val="ListParagraph"/>
              <w:ind w:left="0"/>
              <w:jc w:val="center"/>
              <w:rPr>
                <w:rFonts w:cs="Calibri"/>
              </w:rPr>
            </w:pPr>
            <w:r>
              <w:rPr>
                <w:rFonts w:cs="Calibri"/>
              </w:rPr>
              <w:t>13,779 (11.96)</w:t>
            </w:r>
          </w:p>
        </w:tc>
      </w:tr>
      <w:tr w:rsidR="001C308F" w:rsidRPr="0077476F" w14:paraId="2BD97B6F" w14:textId="77777777" w:rsidTr="00741075">
        <w:tc>
          <w:tcPr>
            <w:tcW w:w="1244" w:type="dxa"/>
          </w:tcPr>
          <w:p w14:paraId="4F1069CC" w14:textId="77777777" w:rsidR="001C308F" w:rsidRPr="0077476F" w:rsidRDefault="001C308F" w:rsidP="00741075">
            <w:pPr>
              <w:pStyle w:val="ListParagraph"/>
              <w:ind w:left="0"/>
              <w:rPr>
                <w:rFonts w:cs="Calibri"/>
              </w:rPr>
            </w:pPr>
            <w:r w:rsidRPr="0077476F">
              <w:rPr>
                <w:rFonts w:cs="Calibri"/>
              </w:rPr>
              <w:t>Felixstowe</w:t>
            </w:r>
          </w:p>
        </w:tc>
        <w:tc>
          <w:tcPr>
            <w:tcW w:w="1263" w:type="dxa"/>
          </w:tcPr>
          <w:p w14:paraId="43B7A122" w14:textId="77777777" w:rsidR="001C308F" w:rsidRPr="0077476F" w:rsidRDefault="001C308F" w:rsidP="00741075">
            <w:pPr>
              <w:pStyle w:val="ListParagraph"/>
              <w:ind w:left="0"/>
              <w:jc w:val="center"/>
              <w:rPr>
                <w:rFonts w:cs="Calibri"/>
              </w:rPr>
            </w:pPr>
            <w:r>
              <w:rPr>
                <w:rFonts w:cs="Calibri"/>
              </w:rPr>
              <w:t>24,052</w:t>
            </w:r>
          </w:p>
        </w:tc>
        <w:tc>
          <w:tcPr>
            <w:tcW w:w="1198" w:type="dxa"/>
          </w:tcPr>
          <w:p w14:paraId="76AD7003" w14:textId="77777777" w:rsidR="001C308F" w:rsidRPr="0077476F" w:rsidRDefault="001C308F" w:rsidP="00741075">
            <w:pPr>
              <w:pStyle w:val="ListParagraph"/>
              <w:ind w:left="0"/>
              <w:jc w:val="center"/>
              <w:rPr>
                <w:rFonts w:cs="Calibri"/>
              </w:rPr>
            </w:pPr>
            <w:r>
              <w:rPr>
                <w:rFonts w:cs="Calibri"/>
              </w:rPr>
              <w:t>23,689 (-363)</w:t>
            </w:r>
          </w:p>
        </w:tc>
        <w:tc>
          <w:tcPr>
            <w:tcW w:w="1241" w:type="dxa"/>
          </w:tcPr>
          <w:p w14:paraId="76AF1B0C" w14:textId="77777777" w:rsidR="001C308F" w:rsidRPr="0077476F" w:rsidRDefault="001C308F" w:rsidP="00741075">
            <w:pPr>
              <w:pStyle w:val="ListParagraph"/>
              <w:ind w:left="0"/>
              <w:jc w:val="center"/>
              <w:rPr>
                <w:rFonts w:cs="Calibri"/>
              </w:rPr>
            </w:pPr>
            <w:r>
              <w:rPr>
                <w:rFonts w:cs="Calibri"/>
              </w:rPr>
              <w:t>-1.51</w:t>
            </w:r>
          </w:p>
        </w:tc>
        <w:tc>
          <w:tcPr>
            <w:tcW w:w="1191" w:type="dxa"/>
          </w:tcPr>
          <w:p w14:paraId="36AD9438" w14:textId="77777777" w:rsidR="001C308F" w:rsidRPr="0077476F" w:rsidRDefault="001C308F" w:rsidP="00741075">
            <w:pPr>
              <w:pStyle w:val="ListParagraph"/>
              <w:ind w:left="0"/>
              <w:jc w:val="center"/>
              <w:rPr>
                <w:rFonts w:cs="Calibri"/>
              </w:rPr>
            </w:pPr>
            <w:r>
              <w:rPr>
                <w:rFonts w:cs="Calibri"/>
              </w:rPr>
              <w:t>24,521 (+832)</w:t>
            </w:r>
          </w:p>
        </w:tc>
        <w:tc>
          <w:tcPr>
            <w:tcW w:w="1194" w:type="dxa"/>
          </w:tcPr>
          <w:p w14:paraId="3C1C01BC" w14:textId="77777777" w:rsidR="001C308F" w:rsidRPr="0077476F" w:rsidRDefault="001C308F" w:rsidP="00741075">
            <w:pPr>
              <w:pStyle w:val="ListParagraph"/>
              <w:ind w:left="0"/>
              <w:jc w:val="center"/>
              <w:rPr>
                <w:rFonts w:cs="Calibri"/>
              </w:rPr>
            </w:pPr>
            <w:r>
              <w:rPr>
                <w:rFonts w:cs="Calibri"/>
              </w:rPr>
              <w:t>3.5</w:t>
            </w:r>
          </w:p>
        </w:tc>
        <w:tc>
          <w:tcPr>
            <w:tcW w:w="1191" w:type="dxa"/>
          </w:tcPr>
          <w:p w14:paraId="197B5786" w14:textId="77777777" w:rsidR="001C308F" w:rsidRDefault="001C308F" w:rsidP="00741075">
            <w:pPr>
              <w:pStyle w:val="ListParagraph"/>
              <w:ind w:left="0"/>
              <w:jc w:val="center"/>
              <w:rPr>
                <w:rFonts w:cs="Calibri"/>
              </w:rPr>
            </w:pPr>
            <w:r>
              <w:rPr>
                <w:rFonts w:cs="Calibri"/>
              </w:rPr>
              <w:t>469 (1.95)</w:t>
            </w:r>
          </w:p>
        </w:tc>
      </w:tr>
      <w:tr w:rsidR="001C308F" w:rsidRPr="0077476F" w14:paraId="160E9E40" w14:textId="77777777" w:rsidTr="00741075">
        <w:tc>
          <w:tcPr>
            <w:tcW w:w="1244" w:type="dxa"/>
          </w:tcPr>
          <w:p w14:paraId="51611D4D" w14:textId="77777777" w:rsidR="001C308F" w:rsidRPr="0077476F" w:rsidRDefault="001C308F" w:rsidP="00741075">
            <w:pPr>
              <w:pStyle w:val="ListParagraph"/>
              <w:ind w:left="0"/>
              <w:rPr>
                <w:rFonts w:cs="Calibri"/>
              </w:rPr>
            </w:pPr>
            <w:r w:rsidRPr="0077476F">
              <w:rPr>
                <w:rFonts w:cs="Calibri"/>
              </w:rPr>
              <w:t xml:space="preserve">Trimley St Martin </w:t>
            </w:r>
          </w:p>
        </w:tc>
        <w:tc>
          <w:tcPr>
            <w:tcW w:w="1263" w:type="dxa"/>
          </w:tcPr>
          <w:p w14:paraId="15ADF3DC" w14:textId="77777777" w:rsidR="001C308F" w:rsidRPr="00F47A33" w:rsidRDefault="001C308F" w:rsidP="00741075">
            <w:pPr>
              <w:pStyle w:val="ListParagraph"/>
              <w:ind w:left="0"/>
              <w:jc w:val="center"/>
              <w:rPr>
                <w:rFonts w:cs="Calibri"/>
              </w:rPr>
            </w:pPr>
            <w:r>
              <w:rPr>
                <w:rFonts w:cs="Calibri"/>
              </w:rPr>
              <w:t>1,945</w:t>
            </w:r>
          </w:p>
        </w:tc>
        <w:tc>
          <w:tcPr>
            <w:tcW w:w="1198" w:type="dxa"/>
          </w:tcPr>
          <w:p w14:paraId="4D70ED14" w14:textId="77777777" w:rsidR="001C308F" w:rsidRPr="0077476F" w:rsidRDefault="001C308F" w:rsidP="00741075">
            <w:pPr>
              <w:pStyle w:val="ListParagraph"/>
              <w:ind w:left="0"/>
              <w:jc w:val="center"/>
              <w:rPr>
                <w:rFonts w:cs="Calibri"/>
              </w:rPr>
            </w:pPr>
            <w:r>
              <w:rPr>
                <w:rFonts w:cs="Calibri"/>
              </w:rPr>
              <w:t>1,942 (-3)</w:t>
            </w:r>
          </w:p>
        </w:tc>
        <w:tc>
          <w:tcPr>
            <w:tcW w:w="1241" w:type="dxa"/>
          </w:tcPr>
          <w:p w14:paraId="0043EDEA" w14:textId="77777777" w:rsidR="001C308F" w:rsidRPr="0077476F" w:rsidRDefault="001C308F" w:rsidP="00741075">
            <w:pPr>
              <w:pStyle w:val="ListParagraph"/>
              <w:ind w:left="0"/>
              <w:jc w:val="center"/>
              <w:rPr>
                <w:rFonts w:cs="Calibri"/>
              </w:rPr>
            </w:pPr>
            <w:r>
              <w:rPr>
                <w:rFonts w:cs="Calibri"/>
              </w:rPr>
              <w:t>-0.2</w:t>
            </w:r>
          </w:p>
        </w:tc>
        <w:tc>
          <w:tcPr>
            <w:tcW w:w="1191" w:type="dxa"/>
          </w:tcPr>
          <w:p w14:paraId="490ACEB9" w14:textId="77777777" w:rsidR="001C308F" w:rsidRPr="0077476F" w:rsidRDefault="001C308F" w:rsidP="00741075">
            <w:pPr>
              <w:pStyle w:val="ListParagraph"/>
              <w:ind w:left="0"/>
              <w:jc w:val="center"/>
              <w:rPr>
                <w:rFonts w:cs="Calibri"/>
              </w:rPr>
            </w:pPr>
            <w:r>
              <w:rPr>
                <w:rFonts w:cs="Calibri"/>
              </w:rPr>
              <w:t>2,033 (+91)</w:t>
            </w:r>
          </w:p>
        </w:tc>
        <w:tc>
          <w:tcPr>
            <w:tcW w:w="1194" w:type="dxa"/>
          </w:tcPr>
          <w:p w14:paraId="3EA96933" w14:textId="77777777" w:rsidR="001C308F" w:rsidRPr="0077476F" w:rsidRDefault="001C308F" w:rsidP="00741075">
            <w:pPr>
              <w:pStyle w:val="ListParagraph"/>
              <w:ind w:left="0"/>
              <w:jc w:val="center"/>
              <w:rPr>
                <w:rFonts w:cs="Calibri"/>
              </w:rPr>
            </w:pPr>
            <w:r>
              <w:rPr>
                <w:rFonts w:cs="Calibri"/>
              </w:rPr>
              <w:t>4.7</w:t>
            </w:r>
          </w:p>
        </w:tc>
        <w:tc>
          <w:tcPr>
            <w:tcW w:w="1191" w:type="dxa"/>
          </w:tcPr>
          <w:p w14:paraId="0435912A" w14:textId="77777777" w:rsidR="001C308F" w:rsidRDefault="001C308F" w:rsidP="00741075">
            <w:pPr>
              <w:pStyle w:val="ListParagraph"/>
              <w:ind w:left="0"/>
              <w:jc w:val="center"/>
              <w:rPr>
                <w:rFonts w:cs="Calibri"/>
              </w:rPr>
            </w:pPr>
            <w:r>
              <w:rPr>
                <w:rFonts w:cs="Calibri"/>
              </w:rPr>
              <w:t>88 (4.6)</w:t>
            </w:r>
          </w:p>
        </w:tc>
      </w:tr>
      <w:tr w:rsidR="001C308F" w:rsidRPr="0077476F" w14:paraId="0535D20E" w14:textId="77777777" w:rsidTr="00741075">
        <w:tc>
          <w:tcPr>
            <w:tcW w:w="1244" w:type="dxa"/>
          </w:tcPr>
          <w:p w14:paraId="49D9B43F" w14:textId="77777777" w:rsidR="001C308F" w:rsidRPr="0077476F" w:rsidRDefault="001C308F" w:rsidP="00741075">
            <w:pPr>
              <w:pStyle w:val="ListParagraph"/>
              <w:ind w:left="0"/>
              <w:rPr>
                <w:rFonts w:cs="Calibri"/>
              </w:rPr>
            </w:pPr>
            <w:r>
              <w:rPr>
                <w:rFonts w:cs="Calibri"/>
              </w:rPr>
              <w:t>Trimley St Mary</w:t>
            </w:r>
          </w:p>
        </w:tc>
        <w:tc>
          <w:tcPr>
            <w:tcW w:w="1263" w:type="dxa"/>
          </w:tcPr>
          <w:p w14:paraId="3FE4BB2A" w14:textId="77777777" w:rsidR="001C308F" w:rsidRDefault="001C308F" w:rsidP="00741075">
            <w:pPr>
              <w:pStyle w:val="ListParagraph"/>
              <w:ind w:left="0"/>
              <w:jc w:val="center"/>
              <w:rPr>
                <w:rFonts w:cs="Calibri"/>
              </w:rPr>
            </w:pPr>
            <w:r>
              <w:rPr>
                <w:rFonts w:cs="Calibri"/>
              </w:rPr>
              <w:t>5,617</w:t>
            </w:r>
          </w:p>
        </w:tc>
        <w:tc>
          <w:tcPr>
            <w:tcW w:w="1198" w:type="dxa"/>
          </w:tcPr>
          <w:p w14:paraId="44ED11C6" w14:textId="77777777" w:rsidR="001C308F" w:rsidRDefault="001C308F" w:rsidP="00741075">
            <w:pPr>
              <w:pStyle w:val="ListParagraph"/>
              <w:ind w:left="0"/>
              <w:jc w:val="center"/>
              <w:rPr>
                <w:rFonts w:cs="Calibri"/>
              </w:rPr>
            </w:pPr>
            <w:r>
              <w:rPr>
                <w:rFonts w:cs="Calibri"/>
              </w:rPr>
              <w:t>5,606 (-11)</w:t>
            </w:r>
          </w:p>
        </w:tc>
        <w:tc>
          <w:tcPr>
            <w:tcW w:w="1241" w:type="dxa"/>
          </w:tcPr>
          <w:p w14:paraId="55CFB8C3" w14:textId="77777777" w:rsidR="001C308F" w:rsidRDefault="001C308F" w:rsidP="00741075">
            <w:pPr>
              <w:pStyle w:val="ListParagraph"/>
              <w:ind w:left="0"/>
              <w:jc w:val="center"/>
              <w:rPr>
                <w:rFonts w:cs="Calibri"/>
              </w:rPr>
            </w:pPr>
            <w:r>
              <w:rPr>
                <w:rFonts w:cs="Calibri"/>
              </w:rPr>
              <w:t>-0.2</w:t>
            </w:r>
          </w:p>
        </w:tc>
        <w:tc>
          <w:tcPr>
            <w:tcW w:w="1191" w:type="dxa"/>
          </w:tcPr>
          <w:p w14:paraId="1CEFF6E5" w14:textId="77777777" w:rsidR="001C308F" w:rsidRDefault="001C308F" w:rsidP="00741075">
            <w:pPr>
              <w:pStyle w:val="ListParagraph"/>
              <w:ind w:left="0"/>
              <w:jc w:val="center"/>
              <w:rPr>
                <w:rFonts w:cs="Calibri"/>
              </w:rPr>
            </w:pPr>
            <w:r>
              <w:rPr>
                <w:rFonts w:cs="Calibri"/>
              </w:rPr>
              <w:t>5,657 (+51)</w:t>
            </w:r>
          </w:p>
        </w:tc>
        <w:tc>
          <w:tcPr>
            <w:tcW w:w="1194" w:type="dxa"/>
          </w:tcPr>
          <w:p w14:paraId="3CDF71CE" w14:textId="77777777" w:rsidR="001C308F" w:rsidRDefault="001C308F" w:rsidP="00741075">
            <w:pPr>
              <w:pStyle w:val="ListParagraph"/>
              <w:ind w:left="0"/>
              <w:jc w:val="center"/>
              <w:rPr>
                <w:rFonts w:cs="Calibri"/>
              </w:rPr>
            </w:pPr>
            <w:r>
              <w:rPr>
                <w:rFonts w:cs="Calibri"/>
              </w:rPr>
              <w:t>0.9</w:t>
            </w:r>
          </w:p>
        </w:tc>
        <w:tc>
          <w:tcPr>
            <w:tcW w:w="1191" w:type="dxa"/>
          </w:tcPr>
          <w:p w14:paraId="631DB1AB" w14:textId="77777777" w:rsidR="001C308F" w:rsidRDefault="001C308F" w:rsidP="00741075">
            <w:pPr>
              <w:pStyle w:val="ListParagraph"/>
              <w:ind w:left="0"/>
              <w:jc w:val="center"/>
              <w:rPr>
                <w:rFonts w:cs="Calibri"/>
              </w:rPr>
            </w:pPr>
            <w:r>
              <w:rPr>
                <w:rFonts w:cs="Calibri"/>
              </w:rPr>
              <w:t>40 (0.7)</w:t>
            </w:r>
          </w:p>
        </w:tc>
      </w:tr>
      <w:tr w:rsidR="001C308F" w:rsidRPr="0077476F" w14:paraId="685D9231" w14:textId="77777777" w:rsidTr="00741075">
        <w:tc>
          <w:tcPr>
            <w:tcW w:w="1244" w:type="dxa"/>
          </w:tcPr>
          <w:p w14:paraId="7CC809E5" w14:textId="77777777" w:rsidR="001C308F" w:rsidRDefault="001C308F" w:rsidP="00741075">
            <w:pPr>
              <w:pStyle w:val="ListParagraph"/>
              <w:ind w:left="0"/>
              <w:rPr>
                <w:rFonts w:cs="Calibri"/>
              </w:rPr>
            </w:pPr>
            <w:r>
              <w:rPr>
                <w:rFonts w:cs="Calibri"/>
              </w:rPr>
              <w:t>Total Felixstowe &amp; Trimley Villages</w:t>
            </w:r>
          </w:p>
        </w:tc>
        <w:tc>
          <w:tcPr>
            <w:tcW w:w="1263" w:type="dxa"/>
          </w:tcPr>
          <w:p w14:paraId="213099D8" w14:textId="77777777" w:rsidR="001C308F" w:rsidRDefault="001C308F" w:rsidP="00741075">
            <w:pPr>
              <w:pStyle w:val="ListParagraph"/>
              <w:ind w:left="0"/>
              <w:jc w:val="center"/>
              <w:rPr>
                <w:rFonts w:cs="Calibri"/>
              </w:rPr>
            </w:pPr>
            <w:r>
              <w:rPr>
                <w:rFonts w:cs="Calibri"/>
              </w:rPr>
              <w:t>31,614</w:t>
            </w:r>
          </w:p>
        </w:tc>
        <w:tc>
          <w:tcPr>
            <w:tcW w:w="1198" w:type="dxa"/>
          </w:tcPr>
          <w:p w14:paraId="608AAC7D" w14:textId="77777777" w:rsidR="001C308F" w:rsidRDefault="001C308F" w:rsidP="00741075">
            <w:pPr>
              <w:pStyle w:val="ListParagraph"/>
              <w:ind w:left="0"/>
              <w:jc w:val="center"/>
              <w:rPr>
                <w:rFonts w:cs="Calibri"/>
              </w:rPr>
            </w:pPr>
            <w:r>
              <w:rPr>
                <w:rFonts w:cs="Calibri"/>
              </w:rPr>
              <w:t>31,237 (-377)</w:t>
            </w:r>
          </w:p>
        </w:tc>
        <w:tc>
          <w:tcPr>
            <w:tcW w:w="1241" w:type="dxa"/>
          </w:tcPr>
          <w:p w14:paraId="43081A04" w14:textId="77777777" w:rsidR="001C308F" w:rsidRDefault="001C308F" w:rsidP="00741075">
            <w:pPr>
              <w:pStyle w:val="ListParagraph"/>
              <w:ind w:left="0"/>
              <w:jc w:val="center"/>
              <w:rPr>
                <w:rFonts w:cs="Calibri"/>
              </w:rPr>
            </w:pPr>
            <w:r>
              <w:rPr>
                <w:rFonts w:cs="Calibri"/>
              </w:rPr>
              <w:t>-1.2</w:t>
            </w:r>
          </w:p>
        </w:tc>
        <w:tc>
          <w:tcPr>
            <w:tcW w:w="1191" w:type="dxa"/>
          </w:tcPr>
          <w:p w14:paraId="28DAE6CB" w14:textId="77777777" w:rsidR="001C308F" w:rsidRDefault="001C308F" w:rsidP="00741075">
            <w:pPr>
              <w:pStyle w:val="ListParagraph"/>
              <w:ind w:left="0"/>
              <w:jc w:val="center"/>
              <w:rPr>
                <w:rFonts w:cs="Calibri"/>
              </w:rPr>
            </w:pPr>
            <w:r>
              <w:rPr>
                <w:rFonts w:cs="Calibri"/>
              </w:rPr>
              <w:t>32,211 (+974)</w:t>
            </w:r>
          </w:p>
        </w:tc>
        <w:tc>
          <w:tcPr>
            <w:tcW w:w="1194" w:type="dxa"/>
          </w:tcPr>
          <w:p w14:paraId="70D4BD54" w14:textId="77777777" w:rsidR="001C308F" w:rsidRDefault="001C308F" w:rsidP="00741075">
            <w:pPr>
              <w:pStyle w:val="ListParagraph"/>
              <w:ind w:left="0"/>
              <w:jc w:val="center"/>
              <w:rPr>
                <w:rFonts w:cs="Calibri"/>
              </w:rPr>
            </w:pPr>
            <w:r>
              <w:rPr>
                <w:rFonts w:cs="Calibri"/>
              </w:rPr>
              <w:t>3.1</w:t>
            </w:r>
          </w:p>
        </w:tc>
        <w:tc>
          <w:tcPr>
            <w:tcW w:w="1191" w:type="dxa"/>
          </w:tcPr>
          <w:p w14:paraId="2C703993" w14:textId="77777777" w:rsidR="001C308F" w:rsidRDefault="001C308F" w:rsidP="00741075">
            <w:pPr>
              <w:pStyle w:val="ListParagraph"/>
              <w:ind w:left="0"/>
              <w:jc w:val="center"/>
              <w:rPr>
                <w:rFonts w:cs="Calibri"/>
              </w:rPr>
            </w:pPr>
            <w:r>
              <w:rPr>
                <w:rFonts w:cs="Calibri"/>
              </w:rPr>
              <w:t>597 (1.89)</w:t>
            </w:r>
          </w:p>
        </w:tc>
      </w:tr>
    </w:tbl>
    <w:p w14:paraId="68BE612D" w14:textId="77777777" w:rsidR="001C308F" w:rsidRPr="0004754D" w:rsidRDefault="001C308F" w:rsidP="001C308F">
      <w:pPr>
        <w:pStyle w:val="ListParagraph"/>
        <w:ind w:left="0"/>
        <w:rPr>
          <w:rFonts w:cs="Calibri"/>
        </w:rPr>
      </w:pPr>
    </w:p>
    <w:p w14:paraId="6AA2F375" w14:textId="77777777" w:rsidR="001C308F" w:rsidRDefault="001C308F" w:rsidP="00263EBB">
      <w:pPr>
        <w:numPr>
          <w:ilvl w:val="0"/>
          <w:numId w:val="1"/>
        </w:numPr>
        <w:contextualSpacing/>
        <w:jc w:val="both"/>
        <w:rPr>
          <w:rFonts w:cs="Calibri"/>
        </w:rPr>
      </w:pPr>
      <w:r>
        <w:rPr>
          <w:rFonts w:cs="Calibri"/>
        </w:rPr>
        <w:t>T</w:t>
      </w:r>
      <w:r w:rsidRPr="0004754D">
        <w:rPr>
          <w:rFonts w:cs="Calibri"/>
        </w:rPr>
        <w:t xml:space="preserve">he level of existing and proposed new housing </w:t>
      </w:r>
      <w:r>
        <w:rPr>
          <w:rFonts w:cs="Calibri"/>
        </w:rPr>
        <w:t xml:space="preserve">destined for Trimley St Martin </w:t>
      </w:r>
      <w:r w:rsidRPr="0004754D">
        <w:rPr>
          <w:rFonts w:cs="Calibri"/>
        </w:rPr>
        <w:t>cannot be justified because it is far in excess of the local need, given the population has remained stable for the past 10 years</w:t>
      </w:r>
      <w:r>
        <w:rPr>
          <w:rFonts w:cs="Calibri"/>
        </w:rPr>
        <w:t xml:space="preserve"> and in addition cannot be justified from </w:t>
      </w:r>
      <w:r w:rsidRPr="0004754D">
        <w:rPr>
          <w:rFonts w:cs="Calibri"/>
        </w:rPr>
        <w:t>the highly questionable ability of meeting the projected employment figures for the District</w:t>
      </w:r>
      <w:r>
        <w:rPr>
          <w:rFonts w:cs="Calibri"/>
        </w:rPr>
        <w:t>.</w:t>
      </w:r>
    </w:p>
    <w:p w14:paraId="0862AFDE" w14:textId="77777777" w:rsidR="001C308F" w:rsidRDefault="001C308F" w:rsidP="001C308F">
      <w:pPr>
        <w:ind w:left="720"/>
        <w:contextualSpacing/>
        <w:jc w:val="both"/>
        <w:rPr>
          <w:rFonts w:cs="Calibri"/>
        </w:rPr>
      </w:pPr>
    </w:p>
    <w:p w14:paraId="4D017B64" w14:textId="77777777" w:rsidR="00140A9C" w:rsidRDefault="001C308F" w:rsidP="00140A9C">
      <w:pPr>
        <w:pStyle w:val="ydpe06a94aayiv4884094150msoplaintext"/>
        <w:ind w:left="567" w:hanging="284"/>
        <w:contextualSpacing/>
        <w:jc w:val="both"/>
        <w:rPr>
          <w:rFonts w:ascii="Calibri" w:hAnsi="Calibri" w:cs="Calibri"/>
          <w:sz w:val="22"/>
          <w:szCs w:val="22"/>
        </w:rPr>
      </w:pPr>
      <w:r>
        <w:rPr>
          <w:rFonts w:ascii="Calibri" w:hAnsi="Calibri" w:cs="Calibri"/>
          <w:b/>
          <w:sz w:val="22"/>
          <w:szCs w:val="22"/>
        </w:rPr>
        <w:t xml:space="preserve">Not positively prepared – </w:t>
      </w:r>
      <w:r w:rsidRPr="0004754D">
        <w:rPr>
          <w:rFonts w:ascii="Calibri" w:hAnsi="Calibri" w:cs="Calibri"/>
          <w:b/>
          <w:sz w:val="22"/>
          <w:szCs w:val="22"/>
        </w:rPr>
        <w:t>Windfall</w:t>
      </w:r>
      <w:r w:rsidRPr="00140A9C">
        <w:rPr>
          <w:rFonts w:ascii="Calibri" w:hAnsi="Calibri" w:cs="Calibri"/>
          <w:b/>
          <w:sz w:val="22"/>
          <w:szCs w:val="22"/>
        </w:rPr>
        <w:t xml:space="preserve"> Allocation</w:t>
      </w:r>
      <w:r w:rsidR="00140A9C">
        <w:rPr>
          <w:rFonts w:ascii="Calibri" w:hAnsi="Calibri" w:cs="Calibri"/>
          <w:sz w:val="22"/>
          <w:szCs w:val="22"/>
        </w:rPr>
        <w:t xml:space="preserve"> </w:t>
      </w:r>
    </w:p>
    <w:p w14:paraId="4CE77774" w14:textId="77777777" w:rsidR="00140A9C" w:rsidRDefault="00140A9C" w:rsidP="00140A9C">
      <w:pPr>
        <w:pStyle w:val="ydpe06a94aayiv4884094150msoplaintext"/>
        <w:ind w:left="567" w:hanging="284"/>
        <w:contextualSpacing/>
        <w:jc w:val="both"/>
        <w:rPr>
          <w:rFonts w:ascii="Calibri" w:hAnsi="Calibri" w:cs="Calibri"/>
          <w:sz w:val="22"/>
          <w:szCs w:val="22"/>
        </w:rPr>
      </w:pPr>
    </w:p>
    <w:p w14:paraId="66DE8BF5" w14:textId="77777777" w:rsidR="00AB6890" w:rsidRDefault="00AB6890" w:rsidP="00263EBB">
      <w:pPr>
        <w:pStyle w:val="ydpe06a94aayiv4884094150msoplaintext"/>
        <w:numPr>
          <w:ilvl w:val="0"/>
          <w:numId w:val="1"/>
        </w:numPr>
        <w:contextualSpacing/>
        <w:jc w:val="both"/>
        <w:rPr>
          <w:rFonts w:ascii="Calibri" w:hAnsi="Calibri" w:cs="Calibri"/>
          <w:sz w:val="22"/>
          <w:szCs w:val="22"/>
        </w:rPr>
      </w:pPr>
      <w:r>
        <w:rPr>
          <w:rFonts w:ascii="Calibri" w:hAnsi="Calibri" w:cs="Calibri"/>
          <w:sz w:val="22"/>
          <w:szCs w:val="22"/>
        </w:rPr>
        <w:t>According to NPPF para 70:</w:t>
      </w:r>
    </w:p>
    <w:p w14:paraId="02AC28A6" w14:textId="77777777" w:rsidR="00AB6890" w:rsidRDefault="00AB6890" w:rsidP="00AB6890">
      <w:pPr>
        <w:pStyle w:val="ydpe06a94aayiv4884094150msoplaintext"/>
        <w:ind w:left="927"/>
        <w:contextualSpacing/>
        <w:jc w:val="both"/>
        <w:rPr>
          <w:rFonts w:ascii="Calibri" w:hAnsi="Calibri" w:cs="Calibri"/>
          <w:sz w:val="22"/>
          <w:szCs w:val="22"/>
        </w:rPr>
      </w:pPr>
      <w:r>
        <w:rPr>
          <w:rFonts w:ascii="Calibri" w:hAnsi="Calibri" w:cs="Calibri"/>
          <w:sz w:val="22"/>
          <w:szCs w:val="22"/>
        </w:rPr>
        <w:t>“Where an allowance is to be made for windfall sites as part of anticipated supply, there should be compelling evidence they will provide a reliable source of supply. Any allowance should be realistic have regard to the strategic housing land availability assessment</w:t>
      </w:r>
      <w:r w:rsidR="005F4795">
        <w:rPr>
          <w:rFonts w:ascii="Calibri" w:hAnsi="Calibri" w:cs="Calibri"/>
          <w:sz w:val="22"/>
          <w:szCs w:val="22"/>
        </w:rPr>
        <w:t>, historic windfall delivery rates and expected future trends”.</w:t>
      </w:r>
    </w:p>
    <w:p w14:paraId="21A01856" w14:textId="77777777" w:rsidR="005F4795" w:rsidRDefault="005F4795" w:rsidP="00AB6890">
      <w:pPr>
        <w:pStyle w:val="ydpe06a94aayiv4884094150msoplaintext"/>
        <w:ind w:left="927"/>
        <w:contextualSpacing/>
        <w:jc w:val="both"/>
        <w:rPr>
          <w:rFonts w:ascii="Calibri" w:hAnsi="Calibri" w:cs="Calibri"/>
          <w:sz w:val="22"/>
          <w:szCs w:val="22"/>
        </w:rPr>
      </w:pPr>
    </w:p>
    <w:p w14:paraId="15D25F48" w14:textId="77777777" w:rsidR="008B149E" w:rsidRDefault="008B149E" w:rsidP="00263EBB">
      <w:pPr>
        <w:pStyle w:val="ydpe06a94aayiv4884094150msoplaintext"/>
        <w:numPr>
          <w:ilvl w:val="0"/>
          <w:numId w:val="1"/>
        </w:numPr>
        <w:contextualSpacing/>
        <w:jc w:val="both"/>
        <w:rPr>
          <w:rFonts w:ascii="Calibri" w:hAnsi="Calibri" w:cs="Calibri"/>
          <w:sz w:val="22"/>
          <w:szCs w:val="22"/>
        </w:rPr>
      </w:pPr>
      <w:r>
        <w:rPr>
          <w:rFonts w:ascii="Calibri" w:hAnsi="Calibri" w:cs="Calibri"/>
          <w:sz w:val="22"/>
          <w:szCs w:val="22"/>
        </w:rPr>
        <w:t xml:space="preserve">Para 2.33 of the SHELAA refers to the avoidance of double counting with sites identified as potential in the SHELAA, only average delivery rates of windfall sites below 0.2ha have been considered, which has been average of 97 per annum. The </w:t>
      </w:r>
      <w:r w:rsidR="00D42875">
        <w:rPr>
          <w:rFonts w:ascii="Calibri" w:hAnsi="Calibri" w:cs="Calibri"/>
          <w:sz w:val="22"/>
          <w:szCs w:val="22"/>
        </w:rPr>
        <w:t xml:space="preserve">document </w:t>
      </w:r>
      <w:r>
        <w:rPr>
          <w:rFonts w:ascii="Calibri" w:hAnsi="Calibri" w:cs="Calibri"/>
          <w:sz w:val="22"/>
          <w:szCs w:val="22"/>
        </w:rPr>
        <w:t xml:space="preserve">makes </w:t>
      </w:r>
      <w:r w:rsidR="00D42875">
        <w:rPr>
          <w:rFonts w:ascii="Calibri" w:hAnsi="Calibri" w:cs="Calibri"/>
          <w:sz w:val="22"/>
          <w:szCs w:val="22"/>
        </w:rPr>
        <w:t>n</w:t>
      </w:r>
      <w:r>
        <w:rPr>
          <w:rFonts w:ascii="Calibri" w:hAnsi="Calibri" w:cs="Calibri"/>
          <w:sz w:val="22"/>
          <w:szCs w:val="22"/>
        </w:rPr>
        <w:t xml:space="preserve">o mention of the return from </w:t>
      </w:r>
      <w:r w:rsidR="00D42875">
        <w:rPr>
          <w:rFonts w:ascii="Calibri" w:hAnsi="Calibri" w:cs="Calibri"/>
          <w:sz w:val="22"/>
          <w:szCs w:val="22"/>
        </w:rPr>
        <w:t>larger sites.</w:t>
      </w:r>
    </w:p>
    <w:p w14:paraId="429E14F0" w14:textId="77777777" w:rsidR="00D42875" w:rsidRDefault="00D42875" w:rsidP="00D42875">
      <w:pPr>
        <w:pStyle w:val="ydpe06a94aayiv4884094150msoplaintext"/>
        <w:ind w:left="720"/>
        <w:contextualSpacing/>
        <w:jc w:val="both"/>
        <w:rPr>
          <w:rFonts w:ascii="Calibri" w:hAnsi="Calibri" w:cs="Calibri"/>
          <w:sz w:val="22"/>
          <w:szCs w:val="22"/>
        </w:rPr>
      </w:pPr>
    </w:p>
    <w:p w14:paraId="4596157A" w14:textId="77777777" w:rsidR="005F4795" w:rsidRDefault="001C308F" w:rsidP="00263EBB">
      <w:pPr>
        <w:pStyle w:val="ydpe06a94aayiv4884094150msoplaintext"/>
        <w:numPr>
          <w:ilvl w:val="0"/>
          <w:numId w:val="1"/>
        </w:numPr>
        <w:contextualSpacing/>
        <w:jc w:val="both"/>
        <w:rPr>
          <w:rFonts w:ascii="Calibri" w:hAnsi="Calibri" w:cs="Calibri"/>
          <w:sz w:val="22"/>
          <w:szCs w:val="22"/>
        </w:rPr>
      </w:pPr>
      <w:r w:rsidRPr="00140A9C">
        <w:rPr>
          <w:rFonts w:ascii="Calibri" w:hAnsi="Calibri" w:cs="Calibri"/>
          <w:sz w:val="22"/>
          <w:szCs w:val="22"/>
        </w:rPr>
        <w:t>According</w:t>
      </w:r>
      <w:r w:rsidRPr="009D70ED">
        <w:rPr>
          <w:rFonts w:ascii="Calibri" w:hAnsi="Calibri" w:cs="Calibri"/>
          <w:sz w:val="22"/>
          <w:szCs w:val="22"/>
        </w:rPr>
        <w:t xml:space="preserve"> to an SCDC response to FOI Request F0132916562 made by Mr Ian Cowan of Trimley St Martin</w:t>
      </w:r>
      <w:r w:rsidR="00140A9C">
        <w:rPr>
          <w:rFonts w:ascii="Calibri" w:hAnsi="Calibri" w:cs="Calibri"/>
          <w:sz w:val="22"/>
          <w:szCs w:val="22"/>
        </w:rPr>
        <w:t xml:space="preserve"> in December 2018</w:t>
      </w:r>
      <w:r w:rsidRPr="009D70ED">
        <w:rPr>
          <w:rFonts w:ascii="Calibri" w:hAnsi="Calibri" w:cs="Calibri"/>
          <w:sz w:val="22"/>
          <w:szCs w:val="22"/>
        </w:rPr>
        <w:t xml:space="preserve">, the average yearly windfall numbers over the past 14 years have been </w:t>
      </w:r>
      <w:r w:rsidR="00140A9C">
        <w:rPr>
          <w:rFonts w:ascii="Calibri" w:hAnsi="Calibri" w:cs="Calibri"/>
          <w:sz w:val="22"/>
          <w:szCs w:val="22"/>
        </w:rPr>
        <w:t xml:space="preserve">an astonishing </w:t>
      </w:r>
      <w:r w:rsidR="005F4795">
        <w:rPr>
          <w:rFonts w:ascii="Calibri" w:hAnsi="Calibri" w:cs="Calibri"/>
          <w:sz w:val="22"/>
          <w:szCs w:val="22"/>
        </w:rPr>
        <w:t>331 dwellings. Annual published figures between April 2004 through to March 2018 reflect a total of 4,647 with the highest recorded at 553 in 2016 and the lowest recorded at 124 in 2014.</w:t>
      </w:r>
    </w:p>
    <w:p w14:paraId="2F10B5B7" w14:textId="77777777" w:rsidR="00263EBB" w:rsidRPr="00263EBB" w:rsidRDefault="00263EBB" w:rsidP="00431C8B">
      <w:pPr>
        <w:pStyle w:val="ydpe06a94aayiv4884094150msoplaintext"/>
        <w:contextualSpacing/>
        <w:jc w:val="both"/>
        <w:rPr>
          <w:rFonts w:ascii="Calibri" w:hAnsi="Calibri" w:cs="Calibri"/>
          <w:sz w:val="22"/>
          <w:szCs w:val="22"/>
        </w:rPr>
      </w:pPr>
    </w:p>
    <w:p w14:paraId="2F17FDF4" w14:textId="77777777" w:rsidR="009D70ED" w:rsidRDefault="001C308F" w:rsidP="00263EBB">
      <w:pPr>
        <w:pStyle w:val="ydpe06a94aayiv4884094150msoplaintext"/>
        <w:numPr>
          <w:ilvl w:val="0"/>
          <w:numId w:val="1"/>
        </w:numPr>
        <w:contextualSpacing/>
        <w:jc w:val="both"/>
        <w:rPr>
          <w:rFonts w:ascii="Calibri" w:hAnsi="Calibri" w:cs="Calibri"/>
          <w:sz w:val="22"/>
          <w:szCs w:val="22"/>
        </w:rPr>
      </w:pPr>
      <w:r w:rsidRPr="009D70ED">
        <w:rPr>
          <w:rFonts w:ascii="Calibri" w:hAnsi="Calibri" w:cs="Calibri"/>
          <w:sz w:val="22"/>
          <w:szCs w:val="22"/>
        </w:rPr>
        <w:t xml:space="preserve"> </w:t>
      </w:r>
      <w:r w:rsidR="005F4795">
        <w:rPr>
          <w:rFonts w:ascii="Calibri" w:hAnsi="Calibri" w:cs="Calibri"/>
          <w:sz w:val="22"/>
          <w:szCs w:val="22"/>
        </w:rPr>
        <w:t xml:space="preserve">These figures notably conflict </w:t>
      </w:r>
      <w:r w:rsidRPr="009D70ED">
        <w:rPr>
          <w:rFonts w:ascii="Calibri" w:hAnsi="Calibri" w:cs="Calibri"/>
          <w:sz w:val="22"/>
          <w:szCs w:val="22"/>
        </w:rPr>
        <w:t>w</w:t>
      </w:r>
      <w:r w:rsidR="005F4795">
        <w:rPr>
          <w:rFonts w:ascii="Calibri" w:hAnsi="Calibri" w:cs="Calibri"/>
          <w:sz w:val="22"/>
          <w:szCs w:val="22"/>
        </w:rPr>
        <w:t xml:space="preserve">ith The Plan’s allowance of </w:t>
      </w:r>
      <w:r w:rsidRPr="009D70ED">
        <w:rPr>
          <w:rFonts w:ascii="Calibri" w:hAnsi="Calibri" w:cs="Calibri"/>
          <w:sz w:val="22"/>
          <w:szCs w:val="22"/>
        </w:rPr>
        <w:t xml:space="preserve">50 per annum figure now predicted for the period </w:t>
      </w:r>
      <w:r w:rsidR="005F4795">
        <w:rPr>
          <w:rFonts w:ascii="Calibri" w:hAnsi="Calibri" w:cs="Calibri"/>
          <w:sz w:val="22"/>
          <w:szCs w:val="22"/>
        </w:rPr>
        <w:t xml:space="preserve">2018 – 2036. </w:t>
      </w:r>
    </w:p>
    <w:p w14:paraId="467656A0" w14:textId="77777777" w:rsidR="0033324B" w:rsidRDefault="0033324B" w:rsidP="0033324B">
      <w:pPr>
        <w:pStyle w:val="ydpe06a94aayiv4884094150msoplaintext"/>
        <w:ind w:left="720"/>
        <w:contextualSpacing/>
        <w:jc w:val="both"/>
        <w:rPr>
          <w:rFonts w:ascii="Calibri" w:hAnsi="Calibri" w:cs="Calibri"/>
          <w:sz w:val="22"/>
          <w:szCs w:val="22"/>
        </w:rPr>
      </w:pPr>
    </w:p>
    <w:p w14:paraId="44E621EC" w14:textId="77777777" w:rsidR="00AE07DF" w:rsidRPr="00263EBB" w:rsidRDefault="00D42875" w:rsidP="00263EBB">
      <w:pPr>
        <w:pStyle w:val="ydpe06a94aayiv4884094150msoplaintext"/>
        <w:numPr>
          <w:ilvl w:val="0"/>
          <w:numId w:val="1"/>
        </w:numPr>
        <w:contextualSpacing/>
        <w:jc w:val="both"/>
        <w:rPr>
          <w:rFonts w:ascii="Calibri" w:hAnsi="Calibri" w:cs="Calibri"/>
          <w:sz w:val="22"/>
          <w:szCs w:val="22"/>
        </w:rPr>
      </w:pPr>
      <w:r>
        <w:rPr>
          <w:rFonts w:ascii="Calibri" w:hAnsi="Calibri" w:cs="Calibri"/>
          <w:sz w:val="22"/>
          <w:szCs w:val="22"/>
        </w:rPr>
        <w:t xml:space="preserve">This </w:t>
      </w:r>
      <w:r w:rsidR="005F4795">
        <w:rPr>
          <w:rFonts w:ascii="Calibri" w:hAnsi="Calibri" w:cs="Calibri"/>
          <w:sz w:val="22"/>
          <w:szCs w:val="22"/>
        </w:rPr>
        <w:t xml:space="preserve">startling </w:t>
      </w:r>
      <w:r>
        <w:rPr>
          <w:rFonts w:ascii="Calibri" w:hAnsi="Calibri" w:cs="Calibri"/>
          <w:sz w:val="22"/>
          <w:szCs w:val="22"/>
        </w:rPr>
        <w:t xml:space="preserve">lack of transparency and explanation has presented a most confusing picture and </w:t>
      </w:r>
      <w:r w:rsidR="005F4795">
        <w:rPr>
          <w:rFonts w:ascii="Calibri" w:hAnsi="Calibri" w:cs="Calibri"/>
          <w:sz w:val="22"/>
          <w:szCs w:val="22"/>
        </w:rPr>
        <w:t xml:space="preserve">an apparent </w:t>
      </w:r>
      <w:r>
        <w:rPr>
          <w:rFonts w:ascii="Calibri" w:hAnsi="Calibri" w:cs="Calibri"/>
          <w:sz w:val="22"/>
          <w:szCs w:val="22"/>
        </w:rPr>
        <w:t>distortion of the published delivery targets</w:t>
      </w:r>
      <w:r w:rsidR="00EB6F4C">
        <w:rPr>
          <w:rFonts w:ascii="Calibri" w:hAnsi="Calibri" w:cs="Calibri"/>
          <w:sz w:val="22"/>
          <w:szCs w:val="22"/>
        </w:rPr>
        <w:t xml:space="preserve">, </w:t>
      </w:r>
      <w:r w:rsidR="005F4795">
        <w:rPr>
          <w:rFonts w:ascii="Calibri" w:hAnsi="Calibri" w:cs="Calibri"/>
          <w:sz w:val="22"/>
          <w:szCs w:val="22"/>
        </w:rPr>
        <w:t xml:space="preserve">thus affecting the housing requirements of </w:t>
      </w:r>
      <w:r w:rsidR="00EB6F4C">
        <w:rPr>
          <w:rFonts w:ascii="Calibri" w:hAnsi="Calibri" w:cs="Calibri"/>
          <w:sz w:val="22"/>
          <w:szCs w:val="22"/>
        </w:rPr>
        <w:t>Felixstowe</w:t>
      </w:r>
      <w:r w:rsidR="005F4795">
        <w:rPr>
          <w:rFonts w:ascii="Calibri" w:hAnsi="Calibri" w:cs="Calibri"/>
          <w:sz w:val="22"/>
          <w:szCs w:val="22"/>
        </w:rPr>
        <w:t>, t</w:t>
      </w:r>
      <w:r w:rsidR="00EB6F4C">
        <w:rPr>
          <w:rFonts w:ascii="Calibri" w:hAnsi="Calibri" w:cs="Calibri"/>
          <w:sz w:val="22"/>
          <w:szCs w:val="22"/>
        </w:rPr>
        <w:t>he Trimley Villages</w:t>
      </w:r>
      <w:r w:rsidR="005F4795">
        <w:rPr>
          <w:rFonts w:ascii="Calibri" w:hAnsi="Calibri" w:cs="Calibri"/>
          <w:sz w:val="22"/>
          <w:szCs w:val="22"/>
        </w:rPr>
        <w:t xml:space="preserve"> and the rest of the District</w:t>
      </w:r>
      <w:r w:rsidR="00EB6F4C">
        <w:rPr>
          <w:rFonts w:ascii="Calibri" w:hAnsi="Calibri" w:cs="Calibri"/>
          <w:sz w:val="22"/>
          <w:szCs w:val="22"/>
        </w:rPr>
        <w:t>.</w:t>
      </w:r>
      <w:r w:rsidR="005F4795">
        <w:rPr>
          <w:rFonts w:ascii="Calibri" w:hAnsi="Calibri" w:cs="Calibri"/>
          <w:sz w:val="22"/>
          <w:szCs w:val="22"/>
        </w:rPr>
        <w:t xml:space="preserve"> It is therefore our contention the </w:t>
      </w:r>
      <w:r w:rsidR="001C308F" w:rsidRPr="00D42875">
        <w:rPr>
          <w:rFonts w:ascii="Calibri" w:hAnsi="Calibri" w:cs="Calibri"/>
          <w:sz w:val="22"/>
          <w:szCs w:val="22"/>
        </w:rPr>
        <w:t xml:space="preserve">housing requirement has been clearly </w:t>
      </w:r>
      <w:proofErr w:type="gramStart"/>
      <w:r w:rsidR="001C308F" w:rsidRPr="00D42875">
        <w:rPr>
          <w:rFonts w:ascii="Calibri" w:hAnsi="Calibri" w:cs="Calibri"/>
          <w:sz w:val="22"/>
          <w:szCs w:val="22"/>
        </w:rPr>
        <w:t>overstated,</w:t>
      </w:r>
      <w:proofErr w:type="gramEnd"/>
      <w:r w:rsidR="001C308F" w:rsidRPr="00D42875">
        <w:rPr>
          <w:rFonts w:ascii="Calibri" w:hAnsi="Calibri" w:cs="Calibri"/>
          <w:sz w:val="22"/>
          <w:szCs w:val="22"/>
        </w:rPr>
        <w:t xml:space="preserve"> </w:t>
      </w:r>
      <w:r w:rsidR="00680D55">
        <w:rPr>
          <w:rFonts w:ascii="Calibri" w:hAnsi="Calibri" w:cs="Calibri"/>
          <w:sz w:val="22"/>
          <w:szCs w:val="22"/>
        </w:rPr>
        <w:t xml:space="preserve">the level of development has not been justified and The Plan </w:t>
      </w:r>
      <w:r w:rsidR="001C308F" w:rsidRPr="00D42875">
        <w:rPr>
          <w:rFonts w:ascii="Calibri" w:hAnsi="Calibri" w:cs="Calibri"/>
          <w:sz w:val="22"/>
          <w:szCs w:val="22"/>
        </w:rPr>
        <w:t>is</w:t>
      </w:r>
      <w:r w:rsidR="00F8607E">
        <w:rPr>
          <w:rFonts w:ascii="Calibri" w:hAnsi="Calibri" w:cs="Calibri"/>
          <w:sz w:val="22"/>
          <w:szCs w:val="22"/>
        </w:rPr>
        <w:t>.</w:t>
      </w:r>
      <w:r w:rsidR="001C308F" w:rsidRPr="00F8607E">
        <w:rPr>
          <w:rFonts w:cs="Calibri"/>
          <w:b/>
        </w:rPr>
        <w:t xml:space="preserve">   </w:t>
      </w:r>
    </w:p>
    <w:p w14:paraId="4EEDDB8B" w14:textId="77777777" w:rsidR="0073290F" w:rsidRDefault="0073290F" w:rsidP="0073290F">
      <w:pPr>
        <w:contextualSpacing/>
        <w:jc w:val="both"/>
        <w:rPr>
          <w:rFonts w:cs="Calibri"/>
          <w:b/>
          <w:sz w:val="24"/>
          <w:szCs w:val="24"/>
        </w:rPr>
      </w:pPr>
    </w:p>
    <w:p w14:paraId="160C4462" w14:textId="77777777" w:rsidR="0073290F" w:rsidRPr="002F0649" w:rsidRDefault="0073290F" w:rsidP="0073290F">
      <w:pPr>
        <w:contextualSpacing/>
        <w:rPr>
          <w:rFonts w:cs="Calibri"/>
          <w:sz w:val="24"/>
          <w:szCs w:val="24"/>
        </w:rPr>
      </w:pPr>
    </w:p>
    <w:p w14:paraId="6FA811C1" w14:textId="77777777" w:rsidR="0073290F" w:rsidRPr="00AA6D0C" w:rsidRDefault="0073290F" w:rsidP="0073290F">
      <w:pPr>
        <w:ind w:left="1440"/>
        <w:contextualSpacing/>
        <w:jc w:val="center"/>
        <w:rPr>
          <w:rFonts w:cs="Calibri"/>
          <w:b/>
          <w:sz w:val="36"/>
          <w:szCs w:val="36"/>
        </w:rPr>
      </w:pPr>
      <w:r w:rsidRPr="00AA6D0C">
        <w:rPr>
          <w:rFonts w:cs="Calibri"/>
          <w:b/>
          <w:sz w:val="36"/>
          <w:szCs w:val="36"/>
        </w:rPr>
        <w:t>PART 2 - Infrastructure</w:t>
      </w:r>
    </w:p>
    <w:p w14:paraId="1DBE151F" w14:textId="77777777" w:rsidR="0073290F" w:rsidRPr="002B413A" w:rsidRDefault="0073290F" w:rsidP="0073290F">
      <w:pPr>
        <w:pStyle w:val="NormalWeb"/>
        <w:ind w:firstLine="360"/>
        <w:contextualSpacing/>
        <w:jc w:val="both"/>
        <w:rPr>
          <w:rFonts w:ascii="Calibri" w:hAnsi="Calibri" w:cs="Calibri"/>
          <w:b/>
          <w:sz w:val="22"/>
          <w:szCs w:val="22"/>
        </w:rPr>
      </w:pPr>
      <w:r>
        <w:rPr>
          <w:rFonts w:ascii="Calibri" w:hAnsi="Calibri" w:cs="Calibri"/>
          <w:b/>
          <w:sz w:val="22"/>
          <w:szCs w:val="22"/>
        </w:rPr>
        <w:t xml:space="preserve">Not </w:t>
      </w:r>
      <w:r w:rsidRPr="0004754D">
        <w:rPr>
          <w:rFonts w:ascii="Calibri" w:hAnsi="Calibri" w:cs="Calibri"/>
          <w:b/>
          <w:sz w:val="22"/>
          <w:szCs w:val="22"/>
        </w:rPr>
        <w:t>Positively Prepared – Infrastructure</w:t>
      </w:r>
      <w:r>
        <w:rPr>
          <w:rFonts w:ascii="Calibri" w:hAnsi="Calibri" w:cs="Calibri"/>
          <w:b/>
          <w:sz w:val="22"/>
          <w:szCs w:val="22"/>
        </w:rPr>
        <w:t xml:space="preserve"> - </w:t>
      </w:r>
      <w:r w:rsidRPr="00A344A1">
        <w:rPr>
          <w:rFonts w:ascii="Calibri" w:hAnsi="Calibri" w:cs="Calibri"/>
          <w:b/>
          <w:bCs/>
          <w:sz w:val="22"/>
          <w:szCs w:val="22"/>
        </w:rPr>
        <w:t>Water Management</w:t>
      </w:r>
    </w:p>
    <w:p w14:paraId="203D116B" w14:textId="77777777" w:rsidR="0073290F" w:rsidRPr="00A344A1" w:rsidRDefault="0073290F" w:rsidP="0073290F">
      <w:pPr>
        <w:pStyle w:val="NormalWeb"/>
        <w:contextualSpacing/>
        <w:jc w:val="both"/>
        <w:rPr>
          <w:rFonts w:ascii="Calibri" w:hAnsi="Calibri" w:cs="Calibri"/>
          <w:sz w:val="22"/>
          <w:szCs w:val="22"/>
        </w:rPr>
      </w:pPr>
    </w:p>
    <w:p w14:paraId="61D1F077" w14:textId="77777777" w:rsidR="0073290F" w:rsidRPr="00107EEE" w:rsidRDefault="0073290F" w:rsidP="0073290F">
      <w:pPr>
        <w:pStyle w:val="ListParagraph"/>
        <w:numPr>
          <w:ilvl w:val="0"/>
          <w:numId w:val="1"/>
        </w:numPr>
        <w:contextualSpacing/>
        <w:jc w:val="both"/>
        <w:rPr>
          <w:rFonts w:cs="Calibri"/>
        </w:rPr>
      </w:pPr>
      <w:r w:rsidRPr="00E15492">
        <w:rPr>
          <w:rFonts w:cs="Calibri"/>
        </w:rPr>
        <w:t xml:space="preserve">The Haven Gateway Water Cycle Study 2009 identified the sewage network in Felixstowe as close to capacity and suggested it would need significant expansion to cope with new development.   The Study also stated that any scale of significant housing growth in the area would require off-site reinforcement works to water supply infrastructure and a new main was likely to be required for development in the East Ipswich. </w:t>
      </w:r>
    </w:p>
    <w:p w14:paraId="4E02E0B8" w14:textId="77777777" w:rsidR="0073290F" w:rsidRDefault="0073290F" w:rsidP="0073290F">
      <w:pPr>
        <w:pStyle w:val="NormalWeb"/>
        <w:numPr>
          <w:ilvl w:val="0"/>
          <w:numId w:val="1"/>
        </w:numPr>
        <w:contextualSpacing/>
        <w:jc w:val="both"/>
        <w:rPr>
          <w:rFonts w:ascii="Calibri" w:hAnsi="Calibri" w:cs="Calibri"/>
          <w:sz w:val="22"/>
          <w:szCs w:val="22"/>
        </w:rPr>
      </w:pPr>
      <w:r w:rsidRPr="00E15492">
        <w:rPr>
          <w:rFonts w:ascii="Calibri" w:hAnsi="Calibri" w:cs="Calibri"/>
          <w:sz w:val="22"/>
          <w:szCs w:val="22"/>
        </w:rPr>
        <w:t>The 2009 Study further identified foul-drainage capacity to deal with a modest growth of housing</w:t>
      </w:r>
      <w:r>
        <w:rPr>
          <w:rFonts w:ascii="Calibri" w:hAnsi="Calibri" w:cs="Calibri"/>
          <w:sz w:val="22"/>
          <w:szCs w:val="22"/>
        </w:rPr>
        <w:t>,</w:t>
      </w:r>
      <w:r w:rsidRPr="00E15492">
        <w:rPr>
          <w:rFonts w:ascii="Calibri" w:hAnsi="Calibri" w:cs="Calibri"/>
          <w:sz w:val="22"/>
          <w:szCs w:val="22"/>
        </w:rPr>
        <w:t xml:space="preserve"> but more substantial growth would require off-site reinforcement work for wastewater infrastructure. </w:t>
      </w:r>
    </w:p>
    <w:p w14:paraId="5F73C45D" w14:textId="77777777" w:rsidR="0073290F" w:rsidRPr="00107EEE" w:rsidRDefault="0073290F" w:rsidP="0073290F">
      <w:pPr>
        <w:pStyle w:val="NormalWeb"/>
        <w:ind w:left="927"/>
        <w:contextualSpacing/>
        <w:jc w:val="both"/>
        <w:rPr>
          <w:rFonts w:ascii="Calibri" w:hAnsi="Calibri" w:cs="Calibri"/>
          <w:sz w:val="22"/>
          <w:szCs w:val="22"/>
        </w:rPr>
      </w:pPr>
    </w:p>
    <w:p w14:paraId="77411599" w14:textId="77777777" w:rsidR="0073290F"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The Felixstowe Infrastructure Study 2009 was prepared by Roger </w:t>
      </w:r>
      <w:proofErr w:type="spellStart"/>
      <w:r>
        <w:rPr>
          <w:rFonts w:ascii="Calibri" w:hAnsi="Calibri" w:cs="Calibri"/>
          <w:sz w:val="22"/>
          <w:szCs w:val="22"/>
        </w:rPr>
        <w:t>Tym</w:t>
      </w:r>
      <w:proofErr w:type="spellEnd"/>
      <w:r>
        <w:rPr>
          <w:rFonts w:ascii="Calibri" w:hAnsi="Calibri" w:cs="Calibri"/>
          <w:sz w:val="22"/>
          <w:szCs w:val="22"/>
        </w:rPr>
        <w:t xml:space="preserve"> &amp; Partners to underpin the Spatial Development Strategy of the Core Strategy that was required to deliver </w:t>
      </w:r>
      <w:proofErr w:type="spellStart"/>
      <w:r>
        <w:rPr>
          <w:rFonts w:ascii="Calibri" w:hAnsi="Calibri" w:cs="Calibri"/>
          <w:sz w:val="22"/>
          <w:szCs w:val="22"/>
        </w:rPr>
        <w:t>approx</w:t>
      </w:r>
      <w:proofErr w:type="spellEnd"/>
      <w:r>
        <w:rPr>
          <w:rFonts w:ascii="Calibri" w:hAnsi="Calibri" w:cs="Calibri"/>
          <w:sz w:val="22"/>
          <w:szCs w:val="22"/>
        </w:rPr>
        <w:t xml:space="preserve"> 1,000 dwellings in Felixstowe and The </w:t>
      </w:r>
      <w:proofErr w:type="spellStart"/>
      <w:r>
        <w:rPr>
          <w:rFonts w:ascii="Calibri" w:hAnsi="Calibri" w:cs="Calibri"/>
          <w:sz w:val="22"/>
          <w:szCs w:val="22"/>
        </w:rPr>
        <w:t>Trimleys</w:t>
      </w:r>
      <w:proofErr w:type="spellEnd"/>
      <w:r>
        <w:rPr>
          <w:rFonts w:ascii="Calibri" w:hAnsi="Calibri" w:cs="Calibri"/>
          <w:sz w:val="22"/>
          <w:szCs w:val="22"/>
        </w:rPr>
        <w:t xml:space="preserve"> their findings included:</w:t>
      </w:r>
    </w:p>
    <w:p w14:paraId="16E68B6A" w14:textId="77777777" w:rsidR="0073290F" w:rsidRDefault="0073290F" w:rsidP="0073290F">
      <w:pPr>
        <w:pStyle w:val="NormalWeb"/>
        <w:ind w:left="720"/>
        <w:contextualSpacing/>
        <w:jc w:val="both"/>
        <w:rPr>
          <w:rFonts w:ascii="Calibri" w:hAnsi="Calibri" w:cs="Calibri"/>
          <w:sz w:val="22"/>
          <w:szCs w:val="22"/>
        </w:rPr>
      </w:pPr>
    </w:p>
    <w:p w14:paraId="257F2CAA" w14:textId="77777777" w:rsidR="0073290F" w:rsidRDefault="0073290F" w:rsidP="0073290F">
      <w:pPr>
        <w:pStyle w:val="NormalWeb"/>
        <w:numPr>
          <w:ilvl w:val="0"/>
          <w:numId w:val="11"/>
        </w:numPr>
        <w:contextualSpacing/>
        <w:jc w:val="both"/>
        <w:rPr>
          <w:rFonts w:ascii="Calibri" w:hAnsi="Calibri"/>
          <w:sz w:val="22"/>
          <w:szCs w:val="22"/>
        </w:rPr>
      </w:pPr>
      <w:r>
        <w:rPr>
          <w:rFonts w:ascii="Calibri" w:hAnsi="Calibri" w:cs="Calibri"/>
          <w:sz w:val="22"/>
          <w:szCs w:val="22"/>
        </w:rPr>
        <w:t xml:space="preserve">The requirements for waste water provision </w:t>
      </w:r>
      <w:r w:rsidRPr="00694D90">
        <w:rPr>
          <w:rFonts w:ascii="Calibri" w:hAnsi="Calibri"/>
          <w:sz w:val="22"/>
          <w:szCs w:val="22"/>
        </w:rPr>
        <w:t>relate to the network for delivering wastewater (i.e. the sewerage pipes) and the facility at which it is treated, i.e. the Wastewater Treatment Works (WwTW). In general terms, Anglian Wate</w:t>
      </w:r>
      <w:r>
        <w:rPr>
          <w:rFonts w:ascii="Calibri" w:hAnsi="Calibri"/>
          <w:sz w:val="22"/>
          <w:szCs w:val="22"/>
        </w:rPr>
        <w:t>r had</w:t>
      </w:r>
      <w:r w:rsidRPr="00694D90">
        <w:rPr>
          <w:rFonts w:ascii="Calibri" w:hAnsi="Calibri"/>
          <w:sz w:val="22"/>
          <w:szCs w:val="22"/>
        </w:rPr>
        <w:t xml:space="preserve"> commented that due to the location of WwTW, there </w:t>
      </w:r>
      <w:r>
        <w:rPr>
          <w:rFonts w:ascii="Calibri" w:hAnsi="Calibri"/>
          <w:sz w:val="22"/>
          <w:szCs w:val="22"/>
        </w:rPr>
        <w:t xml:space="preserve">were </w:t>
      </w:r>
      <w:r w:rsidRPr="00694D90">
        <w:rPr>
          <w:rFonts w:ascii="Calibri" w:hAnsi="Calibri"/>
          <w:sz w:val="22"/>
          <w:szCs w:val="22"/>
        </w:rPr>
        <w:t>no options for direct connections to t</w:t>
      </w:r>
      <w:r>
        <w:rPr>
          <w:rFonts w:ascii="Calibri" w:hAnsi="Calibri"/>
          <w:sz w:val="22"/>
          <w:szCs w:val="22"/>
        </w:rPr>
        <w:t>he works. Thus, improvements would</w:t>
      </w:r>
      <w:r w:rsidRPr="00694D90">
        <w:rPr>
          <w:rFonts w:ascii="Calibri" w:hAnsi="Calibri"/>
          <w:sz w:val="22"/>
          <w:szCs w:val="22"/>
        </w:rPr>
        <w:t xml:space="preserve"> be required to be made within the network by upsizing the existing pipework. </w:t>
      </w:r>
    </w:p>
    <w:p w14:paraId="1AE1305B" w14:textId="77777777" w:rsidR="0073290F" w:rsidRDefault="0073290F" w:rsidP="0073290F">
      <w:pPr>
        <w:pStyle w:val="NormalWeb"/>
        <w:numPr>
          <w:ilvl w:val="0"/>
          <w:numId w:val="11"/>
        </w:numPr>
        <w:contextualSpacing/>
        <w:jc w:val="both"/>
        <w:rPr>
          <w:rFonts w:ascii="Calibri" w:hAnsi="Calibri"/>
          <w:sz w:val="22"/>
          <w:szCs w:val="22"/>
        </w:rPr>
      </w:pPr>
      <w:r w:rsidRPr="005D7D8C">
        <w:rPr>
          <w:rFonts w:ascii="Calibri" w:hAnsi="Calibri"/>
          <w:sz w:val="22"/>
          <w:szCs w:val="22"/>
        </w:rPr>
        <w:lastRenderedPageBreak/>
        <w:t xml:space="preserve">Determining the degree of improvement needed would require a full assessment of each site, including its location and onsite drainage plans (including appropriate surface water disposal, such as sustainable urban drainage systems). The redevelopment of brownfield sites would require a minimum of like with like or betterment. However, until specific individual site locations </w:t>
      </w:r>
      <w:r>
        <w:rPr>
          <w:rFonts w:ascii="Calibri" w:hAnsi="Calibri"/>
          <w:sz w:val="22"/>
          <w:szCs w:val="22"/>
        </w:rPr>
        <w:t xml:space="preserve">were </w:t>
      </w:r>
      <w:r w:rsidRPr="005D7D8C">
        <w:rPr>
          <w:rFonts w:ascii="Calibri" w:hAnsi="Calibri"/>
          <w:sz w:val="22"/>
          <w:szCs w:val="22"/>
        </w:rPr>
        <w:t>know</w:t>
      </w:r>
      <w:r>
        <w:rPr>
          <w:rFonts w:ascii="Calibri" w:hAnsi="Calibri"/>
          <w:sz w:val="22"/>
          <w:szCs w:val="22"/>
        </w:rPr>
        <w:t>n</w:t>
      </w:r>
      <w:r w:rsidRPr="005D7D8C">
        <w:rPr>
          <w:rFonts w:ascii="Calibri" w:hAnsi="Calibri"/>
          <w:sz w:val="22"/>
          <w:szCs w:val="22"/>
        </w:rPr>
        <w:t xml:space="preserve"> </w:t>
      </w:r>
      <w:r>
        <w:rPr>
          <w:rFonts w:ascii="Calibri" w:hAnsi="Calibri"/>
          <w:sz w:val="22"/>
          <w:szCs w:val="22"/>
        </w:rPr>
        <w:t xml:space="preserve">such </w:t>
      </w:r>
      <w:r w:rsidRPr="005D7D8C">
        <w:rPr>
          <w:rFonts w:ascii="Calibri" w:hAnsi="Calibri"/>
          <w:sz w:val="22"/>
          <w:szCs w:val="22"/>
        </w:rPr>
        <w:t>detailed assessment c</w:t>
      </w:r>
      <w:r>
        <w:rPr>
          <w:rFonts w:ascii="Calibri" w:hAnsi="Calibri"/>
          <w:sz w:val="22"/>
          <w:szCs w:val="22"/>
        </w:rPr>
        <w:t xml:space="preserve">ould not </w:t>
      </w:r>
      <w:r w:rsidRPr="005D7D8C">
        <w:rPr>
          <w:rFonts w:ascii="Calibri" w:hAnsi="Calibri"/>
          <w:sz w:val="22"/>
          <w:szCs w:val="22"/>
        </w:rPr>
        <w:t xml:space="preserve">take place. </w:t>
      </w:r>
    </w:p>
    <w:p w14:paraId="4C08C82F" w14:textId="77777777" w:rsidR="0073290F" w:rsidRPr="005D7D8C" w:rsidRDefault="0073290F" w:rsidP="0073290F">
      <w:pPr>
        <w:pStyle w:val="NormalWeb"/>
        <w:numPr>
          <w:ilvl w:val="0"/>
          <w:numId w:val="11"/>
        </w:numPr>
        <w:contextualSpacing/>
        <w:jc w:val="both"/>
        <w:rPr>
          <w:rFonts w:ascii="Calibri" w:hAnsi="Calibri"/>
          <w:sz w:val="22"/>
          <w:szCs w:val="22"/>
        </w:rPr>
      </w:pPr>
      <w:r w:rsidRPr="005D7D8C">
        <w:rPr>
          <w:rFonts w:ascii="Calibri" w:hAnsi="Calibri"/>
          <w:sz w:val="22"/>
          <w:szCs w:val="22"/>
        </w:rPr>
        <w:t xml:space="preserve">There </w:t>
      </w:r>
      <w:r>
        <w:rPr>
          <w:rFonts w:ascii="Calibri" w:hAnsi="Calibri"/>
          <w:sz w:val="22"/>
          <w:szCs w:val="22"/>
        </w:rPr>
        <w:t xml:space="preserve">was </w:t>
      </w:r>
      <w:proofErr w:type="gramStart"/>
      <w:r w:rsidRPr="005D7D8C">
        <w:rPr>
          <w:rFonts w:ascii="Calibri" w:hAnsi="Calibri"/>
          <w:sz w:val="22"/>
          <w:szCs w:val="22"/>
        </w:rPr>
        <w:t>sufficient</w:t>
      </w:r>
      <w:proofErr w:type="gramEnd"/>
      <w:r w:rsidRPr="005D7D8C">
        <w:rPr>
          <w:rFonts w:ascii="Calibri" w:hAnsi="Calibri"/>
          <w:sz w:val="22"/>
          <w:szCs w:val="22"/>
        </w:rPr>
        <w:t xml:space="preserve"> capacity of wastewater treatment infrastructure for all three stages of the growth scenario, </w:t>
      </w:r>
      <w:r w:rsidRPr="005D7D8C">
        <w:rPr>
          <w:rFonts w:ascii="Calibri" w:hAnsi="Calibri"/>
          <w:b/>
          <w:sz w:val="22"/>
          <w:szCs w:val="22"/>
        </w:rPr>
        <w:t>however the sewerage network for all options has limited capacity and would require significant infrastructure investment to accommodate any growth.</w:t>
      </w:r>
      <w:r>
        <w:t xml:space="preserve"> </w:t>
      </w:r>
    </w:p>
    <w:p w14:paraId="07F4849A" w14:textId="77777777" w:rsidR="0073290F" w:rsidRDefault="0073290F" w:rsidP="0073290F">
      <w:pPr>
        <w:pStyle w:val="NormalWeb"/>
        <w:numPr>
          <w:ilvl w:val="0"/>
          <w:numId w:val="11"/>
        </w:numPr>
        <w:contextualSpacing/>
        <w:jc w:val="both"/>
        <w:rPr>
          <w:rFonts w:ascii="Calibri" w:hAnsi="Calibri"/>
          <w:sz w:val="22"/>
          <w:szCs w:val="22"/>
        </w:rPr>
      </w:pPr>
      <w:r w:rsidRPr="005D7D8C">
        <w:rPr>
          <w:rFonts w:ascii="Calibri" w:hAnsi="Calibri"/>
          <w:sz w:val="22"/>
          <w:szCs w:val="22"/>
        </w:rPr>
        <w:t xml:space="preserve">Anglian Water </w:t>
      </w:r>
      <w:r>
        <w:rPr>
          <w:rFonts w:ascii="Calibri" w:hAnsi="Calibri"/>
          <w:sz w:val="22"/>
          <w:szCs w:val="22"/>
        </w:rPr>
        <w:t xml:space="preserve">had </w:t>
      </w:r>
      <w:r w:rsidRPr="005D7D8C">
        <w:rPr>
          <w:rFonts w:ascii="Calibri" w:hAnsi="Calibri"/>
          <w:sz w:val="22"/>
          <w:szCs w:val="22"/>
        </w:rPr>
        <w:t>advise</w:t>
      </w:r>
      <w:r>
        <w:rPr>
          <w:rFonts w:ascii="Calibri" w:hAnsi="Calibri"/>
          <w:sz w:val="22"/>
          <w:szCs w:val="22"/>
        </w:rPr>
        <w:t>d that there wa</w:t>
      </w:r>
      <w:r w:rsidRPr="005D7D8C">
        <w:rPr>
          <w:rFonts w:ascii="Calibri" w:hAnsi="Calibri"/>
          <w:sz w:val="22"/>
          <w:szCs w:val="22"/>
        </w:rPr>
        <w:t xml:space="preserve">s wastewater treatment capacity available for all three phases of the growth scenario, subject to further detailed assessment of development sites. </w:t>
      </w:r>
      <w:r w:rsidRPr="005D7D8C">
        <w:rPr>
          <w:rFonts w:ascii="Calibri" w:hAnsi="Calibri"/>
          <w:b/>
          <w:sz w:val="22"/>
          <w:szCs w:val="22"/>
        </w:rPr>
        <w:t xml:space="preserve">However, the sewerage network in the area of the </w:t>
      </w:r>
      <w:proofErr w:type="spellStart"/>
      <w:r w:rsidRPr="005D7D8C">
        <w:rPr>
          <w:rFonts w:ascii="Calibri" w:hAnsi="Calibri"/>
          <w:b/>
          <w:sz w:val="22"/>
          <w:szCs w:val="22"/>
        </w:rPr>
        <w:t>Trimleys</w:t>
      </w:r>
      <w:proofErr w:type="spellEnd"/>
      <w:r w:rsidRPr="005D7D8C">
        <w:rPr>
          <w:rFonts w:ascii="Calibri" w:hAnsi="Calibri"/>
          <w:b/>
          <w:sz w:val="22"/>
          <w:szCs w:val="22"/>
        </w:rPr>
        <w:t xml:space="preserve">, and to the north of </w:t>
      </w:r>
      <w:proofErr w:type="spellStart"/>
      <w:r w:rsidRPr="005D7D8C">
        <w:rPr>
          <w:rFonts w:ascii="Calibri" w:hAnsi="Calibri"/>
          <w:b/>
          <w:sz w:val="22"/>
          <w:szCs w:val="22"/>
        </w:rPr>
        <w:t>Candlet</w:t>
      </w:r>
      <w:proofErr w:type="spellEnd"/>
      <w:r w:rsidRPr="005D7D8C">
        <w:rPr>
          <w:rFonts w:ascii="Calibri" w:hAnsi="Calibri"/>
          <w:b/>
          <w:sz w:val="22"/>
          <w:szCs w:val="22"/>
        </w:rPr>
        <w:t xml:space="preserve"> Road had limited capacity, and improvements would be required. Furthermore, the sewerage network in Felixstowe had no available capacity and major improvements would be required to accommodate any future development.</w:t>
      </w:r>
      <w:r w:rsidRPr="005D7D8C">
        <w:rPr>
          <w:rFonts w:ascii="Calibri" w:hAnsi="Calibri"/>
          <w:sz w:val="22"/>
          <w:szCs w:val="22"/>
        </w:rPr>
        <w:t xml:space="preserve"> </w:t>
      </w:r>
    </w:p>
    <w:p w14:paraId="4A8FAD09" w14:textId="77777777" w:rsidR="0073290F" w:rsidRDefault="0073290F" w:rsidP="0073290F">
      <w:pPr>
        <w:pStyle w:val="NormalWeb"/>
        <w:numPr>
          <w:ilvl w:val="0"/>
          <w:numId w:val="11"/>
        </w:numPr>
        <w:contextualSpacing/>
        <w:jc w:val="both"/>
        <w:rPr>
          <w:rFonts w:ascii="Calibri" w:hAnsi="Calibri"/>
          <w:sz w:val="22"/>
          <w:szCs w:val="22"/>
        </w:rPr>
      </w:pPr>
      <w:r w:rsidRPr="005C7A36">
        <w:rPr>
          <w:rFonts w:ascii="Calibri" w:hAnsi="Calibri"/>
          <w:sz w:val="22"/>
          <w:szCs w:val="22"/>
        </w:rPr>
        <w:t>Individual improvements to sewage capacity to enab</w:t>
      </w:r>
      <w:r>
        <w:rPr>
          <w:rFonts w:ascii="Calibri" w:hAnsi="Calibri"/>
          <w:sz w:val="22"/>
          <w:szCs w:val="22"/>
        </w:rPr>
        <w:t xml:space="preserve">le developments to </w:t>
      </w:r>
      <w:proofErr w:type="gramStart"/>
      <w:r>
        <w:rPr>
          <w:rFonts w:ascii="Calibri" w:hAnsi="Calibri"/>
          <w:sz w:val="22"/>
          <w:szCs w:val="22"/>
        </w:rPr>
        <w:t>go ahead would</w:t>
      </w:r>
      <w:r w:rsidRPr="005C7A36">
        <w:rPr>
          <w:rFonts w:ascii="Calibri" w:hAnsi="Calibri"/>
          <w:sz w:val="22"/>
          <w:szCs w:val="22"/>
        </w:rPr>
        <w:t xml:space="preserve"> be</w:t>
      </w:r>
      <w:proofErr w:type="gramEnd"/>
      <w:r w:rsidRPr="005C7A36">
        <w:rPr>
          <w:rFonts w:ascii="Calibri" w:hAnsi="Calibri"/>
          <w:sz w:val="22"/>
          <w:szCs w:val="22"/>
        </w:rPr>
        <w:t xml:space="preserve"> priorities for developers. The extent to which t</w:t>
      </w:r>
      <w:r>
        <w:rPr>
          <w:rFonts w:ascii="Calibri" w:hAnsi="Calibri"/>
          <w:sz w:val="22"/>
          <w:szCs w:val="22"/>
        </w:rPr>
        <w:t>his may inhibit development would</w:t>
      </w:r>
      <w:r w:rsidRPr="005C7A36">
        <w:rPr>
          <w:rFonts w:ascii="Calibri" w:hAnsi="Calibri"/>
          <w:sz w:val="22"/>
          <w:szCs w:val="22"/>
        </w:rPr>
        <w:t xml:space="preserve"> become appa</w:t>
      </w:r>
      <w:r>
        <w:rPr>
          <w:rFonts w:ascii="Calibri" w:hAnsi="Calibri"/>
          <w:sz w:val="22"/>
          <w:szCs w:val="22"/>
        </w:rPr>
        <w:t>rent when Anglian Water responded</w:t>
      </w:r>
      <w:r w:rsidRPr="005C7A36">
        <w:rPr>
          <w:rFonts w:ascii="Calibri" w:hAnsi="Calibri"/>
          <w:sz w:val="22"/>
          <w:szCs w:val="22"/>
        </w:rPr>
        <w:t xml:space="preserve"> to individual applications. </w:t>
      </w:r>
    </w:p>
    <w:p w14:paraId="04EE08BE" w14:textId="77777777" w:rsidR="0073290F" w:rsidRPr="006E1A09" w:rsidRDefault="0073290F" w:rsidP="0073290F">
      <w:pPr>
        <w:pStyle w:val="NormalWeb"/>
        <w:numPr>
          <w:ilvl w:val="0"/>
          <w:numId w:val="11"/>
        </w:numPr>
        <w:contextualSpacing/>
        <w:jc w:val="both"/>
        <w:rPr>
          <w:rFonts w:ascii="Calibri" w:hAnsi="Calibri"/>
          <w:b/>
          <w:sz w:val="22"/>
          <w:szCs w:val="22"/>
        </w:rPr>
      </w:pPr>
      <w:r w:rsidRPr="005C7A36">
        <w:rPr>
          <w:rFonts w:ascii="Calibri" w:hAnsi="Calibri"/>
          <w:b/>
          <w:sz w:val="22"/>
          <w:szCs w:val="22"/>
        </w:rPr>
        <w:t>Provision of a</w:t>
      </w:r>
      <w:r>
        <w:rPr>
          <w:rFonts w:ascii="Calibri" w:hAnsi="Calibri"/>
          <w:b/>
          <w:sz w:val="22"/>
          <w:szCs w:val="22"/>
        </w:rPr>
        <w:t>dditional sewerage capacity would</w:t>
      </w:r>
      <w:r w:rsidRPr="005C7A36">
        <w:rPr>
          <w:rFonts w:ascii="Calibri" w:hAnsi="Calibri"/>
          <w:b/>
          <w:sz w:val="22"/>
          <w:szCs w:val="22"/>
        </w:rPr>
        <w:t xml:space="preserve"> become a priority from 2015 onwards to ensure that the</w:t>
      </w:r>
      <w:r>
        <w:rPr>
          <w:rFonts w:ascii="Calibri" w:hAnsi="Calibri"/>
          <w:b/>
          <w:sz w:val="22"/>
          <w:szCs w:val="22"/>
        </w:rPr>
        <w:t xml:space="preserve"> later phases of growth could</w:t>
      </w:r>
      <w:r w:rsidRPr="005C7A36">
        <w:rPr>
          <w:rFonts w:ascii="Calibri" w:hAnsi="Calibri"/>
          <w:b/>
          <w:sz w:val="22"/>
          <w:szCs w:val="22"/>
        </w:rPr>
        <w:t xml:space="preserve"> be served.</w:t>
      </w:r>
      <w:r w:rsidRPr="006E1A09">
        <w:rPr>
          <w:rFonts w:ascii="Calibri" w:hAnsi="Calibri"/>
          <w:sz w:val="22"/>
          <w:szCs w:val="22"/>
        </w:rPr>
        <w:t xml:space="preserve"> </w:t>
      </w:r>
    </w:p>
    <w:p w14:paraId="3AD205AA" w14:textId="77777777" w:rsidR="0073290F" w:rsidRPr="006E1A09" w:rsidRDefault="0073290F" w:rsidP="0073290F">
      <w:pPr>
        <w:pStyle w:val="NormalWeb"/>
        <w:numPr>
          <w:ilvl w:val="0"/>
          <w:numId w:val="11"/>
        </w:numPr>
        <w:contextualSpacing/>
        <w:jc w:val="both"/>
        <w:rPr>
          <w:rFonts w:ascii="Calibri" w:hAnsi="Calibri"/>
          <w:b/>
          <w:sz w:val="22"/>
          <w:szCs w:val="22"/>
        </w:rPr>
      </w:pPr>
      <w:r>
        <w:rPr>
          <w:rFonts w:ascii="Calibri" w:hAnsi="Calibri"/>
          <w:sz w:val="22"/>
          <w:szCs w:val="22"/>
        </w:rPr>
        <w:t>According to the 2009 Study the Council would</w:t>
      </w:r>
      <w:r w:rsidRPr="006E1A09">
        <w:rPr>
          <w:rFonts w:ascii="Calibri" w:hAnsi="Calibri"/>
          <w:sz w:val="22"/>
          <w:szCs w:val="22"/>
        </w:rPr>
        <w:t xml:space="preserve"> need to work closely with Anglian Water to ensure that improvements required for Phases 2 and 3 </w:t>
      </w:r>
      <w:r>
        <w:rPr>
          <w:rFonts w:ascii="Calibri" w:hAnsi="Calibri"/>
          <w:sz w:val="22"/>
          <w:szCs w:val="22"/>
        </w:rPr>
        <w:t xml:space="preserve">(of the growth programme) </w:t>
      </w:r>
      <w:r w:rsidRPr="006E1A09">
        <w:rPr>
          <w:rFonts w:ascii="Calibri" w:hAnsi="Calibri"/>
          <w:sz w:val="22"/>
          <w:szCs w:val="22"/>
        </w:rPr>
        <w:t xml:space="preserve">are </w:t>
      </w:r>
      <w:r>
        <w:rPr>
          <w:rFonts w:ascii="Calibri" w:hAnsi="Calibri"/>
          <w:sz w:val="22"/>
          <w:szCs w:val="22"/>
        </w:rPr>
        <w:t xml:space="preserve">included </w:t>
      </w:r>
      <w:r w:rsidRPr="006E1A09">
        <w:rPr>
          <w:rFonts w:ascii="Calibri" w:hAnsi="Calibri"/>
          <w:sz w:val="22"/>
          <w:szCs w:val="22"/>
        </w:rPr>
        <w:t>in the Asset Management Plan (AMP) to reduce the costs on developers as far as possible.</w:t>
      </w:r>
    </w:p>
    <w:p w14:paraId="26301DC8" w14:textId="77777777" w:rsidR="0073290F" w:rsidRDefault="0073290F" w:rsidP="0073290F">
      <w:pPr>
        <w:numPr>
          <w:ilvl w:val="0"/>
          <w:numId w:val="1"/>
        </w:numPr>
        <w:autoSpaceDE w:val="0"/>
        <w:autoSpaceDN w:val="0"/>
        <w:adjustRightInd w:val="0"/>
        <w:spacing w:after="0" w:line="240" w:lineRule="auto"/>
      </w:pPr>
      <w:r>
        <w:t>According to The First Draft Local Plan – July 2018 the Infrastructure Delivery Framework chart under ‘Utilities’ indicates ‘Potential improvements to Trimley St Martin Water Recycling Centre’ with unknown costs to be borne by the developer. This reference is missing from The Plan (page 455) which just refers to ‘Potential improvements to Felixstowe water recycling centre and supporting infrastructure’. A confusing situation as to the actual extent of the waste issues.</w:t>
      </w:r>
    </w:p>
    <w:p w14:paraId="1EF33F06" w14:textId="77777777" w:rsidR="0073290F" w:rsidRDefault="0073290F" w:rsidP="0073290F">
      <w:pPr>
        <w:autoSpaceDE w:val="0"/>
        <w:autoSpaceDN w:val="0"/>
        <w:adjustRightInd w:val="0"/>
        <w:spacing w:after="0" w:line="240" w:lineRule="auto"/>
        <w:ind w:left="720"/>
      </w:pPr>
      <w:r>
        <w:t xml:space="preserve"> </w:t>
      </w:r>
    </w:p>
    <w:p w14:paraId="74C599F3" w14:textId="77777777" w:rsidR="0073290F" w:rsidRDefault="0073290F" w:rsidP="0073290F">
      <w:pPr>
        <w:numPr>
          <w:ilvl w:val="0"/>
          <w:numId w:val="1"/>
        </w:numPr>
        <w:autoSpaceDE w:val="0"/>
        <w:autoSpaceDN w:val="0"/>
        <w:adjustRightInd w:val="0"/>
        <w:spacing w:after="0" w:line="240" w:lineRule="auto"/>
      </w:pPr>
      <w:r>
        <w:t xml:space="preserve">The Haven Gateway Study 2009 refers to the fact both Felixstowe and Trimley Treatment works discharge directly into the Stour and Orwell estuaries. </w:t>
      </w:r>
    </w:p>
    <w:p w14:paraId="5BAFF823" w14:textId="77777777" w:rsidR="0073290F" w:rsidRDefault="0073290F" w:rsidP="0073290F">
      <w:pPr>
        <w:autoSpaceDE w:val="0"/>
        <w:autoSpaceDN w:val="0"/>
        <w:adjustRightInd w:val="0"/>
        <w:spacing w:after="0" w:line="240" w:lineRule="auto"/>
        <w:ind w:left="720"/>
      </w:pPr>
      <w:r>
        <w:t xml:space="preserve"> </w:t>
      </w:r>
    </w:p>
    <w:p w14:paraId="08CF301C" w14:textId="77777777" w:rsidR="0073290F" w:rsidRDefault="0073290F" w:rsidP="0073290F">
      <w:pPr>
        <w:numPr>
          <w:ilvl w:val="0"/>
          <w:numId w:val="1"/>
        </w:numPr>
        <w:autoSpaceDE w:val="0"/>
        <w:autoSpaceDN w:val="0"/>
        <w:adjustRightInd w:val="0"/>
        <w:spacing w:after="0" w:line="240" w:lineRule="auto"/>
      </w:pPr>
      <w:r>
        <w:t>It is unclear what the Plan is trying to convey in terms of where improvement works need to be carried out</w:t>
      </w:r>
    </w:p>
    <w:p w14:paraId="0F754A09" w14:textId="77777777" w:rsidR="0073290F" w:rsidRDefault="0073290F" w:rsidP="0073290F">
      <w:pPr>
        <w:autoSpaceDE w:val="0"/>
        <w:autoSpaceDN w:val="0"/>
        <w:adjustRightInd w:val="0"/>
        <w:spacing w:after="0" w:line="240" w:lineRule="auto"/>
        <w:ind w:left="927"/>
      </w:pPr>
    </w:p>
    <w:p w14:paraId="21A60706" w14:textId="77777777" w:rsidR="0073290F" w:rsidRDefault="0073290F" w:rsidP="0073290F">
      <w:pPr>
        <w:numPr>
          <w:ilvl w:val="0"/>
          <w:numId w:val="1"/>
        </w:numPr>
        <w:autoSpaceDE w:val="0"/>
        <w:autoSpaceDN w:val="0"/>
        <w:adjustRightInd w:val="0"/>
        <w:spacing w:after="0" w:line="240" w:lineRule="auto"/>
      </w:pPr>
      <w:r>
        <w:t xml:space="preserve">According to Felixstowe Infrastructure Study 2009 capital spending on waste water services is funded by the revenue collected from existing customers. At that time Anglian Water produced a 5-year Asset Management Programme (AMP) approved by OFWAT. The current 5-year plan at the time was expected to be determined shortly, to identify all needs over the following five years. </w:t>
      </w:r>
    </w:p>
    <w:p w14:paraId="79683D27" w14:textId="77777777" w:rsidR="0073290F" w:rsidRDefault="0073290F" w:rsidP="0073290F">
      <w:pPr>
        <w:autoSpaceDE w:val="0"/>
        <w:autoSpaceDN w:val="0"/>
        <w:adjustRightInd w:val="0"/>
        <w:spacing w:after="0" w:line="240" w:lineRule="auto"/>
        <w:ind w:left="720"/>
      </w:pPr>
    </w:p>
    <w:p w14:paraId="2EFF086A" w14:textId="77777777" w:rsidR="0073290F" w:rsidRDefault="0073290F" w:rsidP="0073290F">
      <w:pPr>
        <w:numPr>
          <w:ilvl w:val="0"/>
          <w:numId w:val="1"/>
        </w:numPr>
        <w:autoSpaceDE w:val="0"/>
        <w:autoSpaceDN w:val="0"/>
        <w:adjustRightInd w:val="0"/>
        <w:spacing w:after="0" w:line="240" w:lineRule="auto"/>
      </w:pPr>
      <w:r>
        <w:t>According to the same Study none of the needs identified as part of the growth options had been promoted as part of the Anglian Water final business plan for the current AMP being considered by OFWAT. Therefore, if Anglian Water was to provide any of the solutions they would have to be part of the bids within the next AMPs (either post-2016 or post-2021)</w:t>
      </w:r>
    </w:p>
    <w:p w14:paraId="08F29F1B" w14:textId="77777777" w:rsidR="0073290F" w:rsidRDefault="0073290F" w:rsidP="0073290F">
      <w:pPr>
        <w:autoSpaceDE w:val="0"/>
        <w:autoSpaceDN w:val="0"/>
        <w:adjustRightInd w:val="0"/>
        <w:spacing w:after="0" w:line="240" w:lineRule="auto"/>
      </w:pPr>
    </w:p>
    <w:p w14:paraId="5ECE850E" w14:textId="77777777" w:rsidR="0073290F" w:rsidRDefault="0073290F" w:rsidP="0073290F">
      <w:pPr>
        <w:numPr>
          <w:ilvl w:val="0"/>
          <w:numId w:val="1"/>
        </w:numPr>
        <w:autoSpaceDE w:val="0"/>
        <w:autoSpaceDN w:val="0"/>
        <w:adjustRightInd w:val="0"/>
        <w:spacing w:after="0" w:line="240" w:lineRule="auto"/>
      </w:pPr>
      <w:r>
        <w:lastRenderedPageBreak/>
        <w:t xml:space="preserve">Alternatively, the developer would have been able to bring forward the planned improvement works sooner by </w:t>
      </w:r>
      <w:proofErr w:type="gramStart"/>
      <w:r>
        <w:t>making a contribution</w:t>
      </w:r>
      <w:proofErr w:type="gramEnd"/>
      <w:r>
        <w:t xml:space="preserve"> up front to ensure the works takes place at an earlier date. On large developments, Anglian Water would expect to see developer contributions being used to support early delivery of wastewater facilities. The Study would consider that contribution to be treated as part of the costs of development.</w:t>
      </w:r>
    </w:p>
    <w:p w14:paraId="33D35768" w14:textId="77777777" w:rsidR="0073290F" w:rsidRDefault="0073290F" w:rsidP="0073290F">
      <w:pPr>
        <w:autoSpaceDE w:val="0"/>
        <w:autoSpaceDN w:val="0"/>
        <w:adjustRightInd w:val="0"/>
        <w:spacing w:after="0" w:line="240" w:lineRule="auto"/>
        <w:ind w:left="720"/>
      </w:pPr>
    </w:p>
    <w:p w14:paraId="4DCD0B25" w14:textId="77777777" w:rsidR="0073290F" w:rsidRDefault="0073290F" w:rsidP="0073290F">
      <w:pPr>
        <w:numPr>
          <w:ilvl w:val="0"/>
          <w:numId w:val="1"/>
        </w:numPr>
      </w:pPr>
      <w:r>
        <w:t>According to The Study Anglian Water only paid for wastewater services related to residential development. The costs for serving employment and retail development were expected to be met in full by the developer. Unless contributions have been changed in the meantime this would suggest that developers would be responsible for the water infrastructure costs associated with the proposed Innocence Farm development (SCLP 12.35)</w:t>
      </w:r>
    </w:p>
    <w:p w14:paraId="4E316687" w14:textId="77777777" w:rsidR="0073290F" w:rsidRDefault="0073290F" w:rsidP="0073290F">
      <w:pPr>
        <w:numPr>
          <w:ilvl w:val="0"/>
          <w:numId w:val="1"/>
        </w:numPr>
        <w:autoSpaceDE w:val="0"/>
        <w:autoSpaceDN w:val="0"/>
        <w:adjustRightInd w:val="0"/>
        <w:spacing w:after="0" w:line="240" w:lineRule="auto"/>
      </w:pPr>
      <w:r>
        <w:t xml:space="preserve">According to para </w:t>
      </w:r>
      <w:r w:rsidRPr="0071238F">
        <w:t>12.59 page 204</w:t>
      </w:r>
      <w:r>
        <w:t xml:space="preserve"> of The Plan – “Development proposals at Felixstowe should have regard to the findings of the Suffolk Coastal &amp; Ipswich Cross Boundary Water Cycle Study which indicates capacity limitations at Felixstowe Water Recycling Centre. Evidence will be required to demonstrate how capacity will be made available in time to serve proposed development. Over the plan period the Council will work with Anglian Water to ensure that improvements funded through the Anglian Water Asset Management Plan are delivered in a timely manner alongside the delivery of the Garden Neighbourhood. Solutions will need to be considered at the master-planning stage”.</w:t>
      </w:r>
    </w:p>
    <w:p w14:paraId="58372BF2" w14:textId="77777777" w:rsidR="0073290F" w:rsidRDefault="0073290F" w:rsidP="0073290F">
      <w:pPr>
        <w:autoSpaceDE w:val="0"/>
        <w:autoSpaceDN w:val="0"/>
        <w:adjustRightInd w:val="0"/>
        <w:spacing w:after="0" w:line="240" w:lineRule="auto"/>
      </w:pPr>
    </w:p>
    <w:p w14:paraId="579DDA20" w14:textId="77777777" w:rsidR="0073290F" w:rsidRDefault="0073290F" w:rsidP="0073290F">
      <w:pPr>
        <w:numPr>
          <w:ilvl w:val="0"/>
          <w:numId w:val="1"/>
        </w:numPr>
        <w:autoSpaceDE w:val="0"/>
        <w:autoSpaceDN w:val="0"/>
        <w:adjustRightInd w:val="0"/>
        <w:spacing w:after="0" w:line="240" w:lineRule="auto"/>
      </w:pPr>
      <w:r>
        <w:t xml:space="preserve"> The Plan – page 455 under the heading ‘Project’ and ‘Essential’ “Potential improvements to Felixstowe water recycling centre and supporting infrastructure” of unknown costs to be borne by the developer. According to para (....) above mention (2009 Study) was made of ‘no options for direct connections to the works thus improvements would be required to be made within the network by upsizing the existing pipework’. </w:t>
      </w:r>
    </w:p>
    <w:p w14:paraId="5DC5D716" w14:textId="77777777" w:rsidR="0073290F" w:rsidRDefault="0073290F" w:rsidP="0073290F"/>
    <w:p w14:paraId="09D9628D" w14:textId="77777777" w:rsidR="0073290F" w:rsidRDefault="0073290F" w:rsidP="0073290F">
      <w:pPr>
        <w:numPr>
          <w:ilvl w:val="0"/>
          <w:numId w:val="1"/>
        </w:numPr>
        <w:autoSpaceDE w:val="0"/>
        <w:autoSpaceDN w:val="0"/>
        <w:adjustRightInd w:val="0"/>
        <w:spacing w:after="0" w:line="240" w:lineRule="auto"/>
      </w:pPr>
      <w:r>
        <w:t xml:space="preserve">In 2018 there was a need for Binders Waste Management Service to attend the recent housing development at The </w:t>
      </w:r>
      <w:proofErr w:type="spellStart"/>
      <w:r>
        <w:t>Josellyns</w:t>
      </w:r>
      <w:proofErr w:type="spellEnd"/>
      <w:r>
        <w:t>, Trimley St Mary on more than one occasion to pump out waste. Is this an indication of what is to expect in the future through failure to heed earlier warnings.</w:t>
      </w:r>
    </w:p>
    <w:p w14:paraId="73A682DA" w14:textId="77777777" w:rsidR="0073290F" w:rsidRDefault="0073290F" w:rsidP="0073290F">
      <w:pPr>
        <w:pStyle w:val="NormalWeb"/>
        <w:numPr>
          <w:ilvl w:val="0"/>
          <w:numId w:val="1"/>
        </w:numPr>
        <w:contextualSpacing/>
        <w:jc w:val="both"/>
        <w:rPr>
          <w:rFonts w:ascii="Calibri" w:hAnsi="Calibri" w:cs="Calibri"/>
          <w:sz w:val="22"/>
          <w:szCs w:val="22"/>
        </w:rPr>
      </w:pPr>
      <w:r w:rsidRPr="00096F70">
        <w:rPr>
          <w:rFonts w:ascii="Calibri" w:hAnsi="Calibri"/>
          <w:sz w:val="22"/>
          <w:szCs w:val="22"/>
        </w:rPr>
        <w:t xml:space="preserve">Given the amount and of development that has taken place since 2012 and the scale of what is now proposed it is not clear if such </w:t>
      </w:r>
      <w:r>
        <w:rPr>
          <w:rFonts w:ascii="Calibri" w:hAnsi="Calibri"/>
          <w:sz w:val="22"/>
          <w:szCs w:val="22"/>
        </w:rPr>
        <w:t xml:space="preserve">forthcoming </w:t>
      </w:r>
      <w:r w:rsidRPr="00096F70">
        <w:rPr>
          <w:rFonts w:ascii="Calibri" w:hAnsi="Calibri"/>
          <w:sz w:val="22"/>
          <w:szCs w:val="22"/>
        </w:rPr>
        <w:t>infrastructure works will amount to a ‘capital expense’ to be borne by Anglian Water</w:t>
      </w:r>
      <w:r>
        <w:t xml:space="preserve">. </w:t>
      </w:r>
      <w:r>
        <w:rPr>
          <w:rFonts w:ascii="Calibri" w:hAnsi="Calibri" w:cs="Calibri"/>
          <w:sz w:val="22"/>
          <w:szCs w:val="22"/>
        </w:rPr>
        <w:t xml:space="preserve">According to The Plan it is Anglian Water’s responsibility </w:t>
      </w:r>
      <w:r w:rsidRPr="00A344A1">
        <w:rPr>
          <w:rFonts w:ascii="Calibri" w:hAnsi="Calibri" w:cs="Calibri"/>
          <w:sz w:val="22"/>
          <w:szCs w:val="22"/>
        </w:rPr>
        <w:t xml:space="preserve">to invest in sewage treatment capacity to cope with an increase in population. Anglian Water </w:t>
      </w:r>
      <w:r>
        <w:rPr>
          <w:rFonts w:ascii="Calibri" w:hAnsi="Calibri" w:cs="Calibri"/>
          <w:sz w:val="22"/>
          <w:szCs w:val="22"/>
        </w:rPr>
        <w:t>is scheduled to invest £58m between 2015 – 2020, but no mention is made as to how those funds are going to be invested within the SCDC District</w:t>
      </w:r>
      <w:r w:rsidRPr="00A344A1">
        <w:rPr>
          <w:rFonts w:ascii="Calibri" w:hAnsi="Calibri" w:cs="Calibri"/>
          <w:sz w:val="22"/>
          <w:szCs w:val="22"/>
        </w:rPr>
        <w:t>.</w:t>
      </w:r>
    </w:p>
    <w:p w14:paraId="55F6D7E9" w14:textId="77777777" w:rsidR="0073290F" w:rsidRPr="00E80B37" w:rsidRDefault="0073290F" w:rsidP="0073290F">
      <w:pPr>
        <w:pStyle w:val="NormalWeb"/>
        <w:contextualSpacing/>
        <w:jc w:val="both"/>
        <w:rPr>
          <w:rFonts w:ascii="Calibri" w:hAnsi="Calibri" w:cs="Calibri"/>
          <w:sz w:val="22"/>
          <w:szCs w:val="22"/>
        </w:rPr>
      </w:pPr>
    </w:p>
    <w:p w14:paraId="79C5E314" w14:textId="77777777" w:rsidR="0073290F"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According to the Anglian Water website they have recently announced an investment of £15m to construct new treatment works at Little </w:t>
      </w:r>
      <w:proofErr w:type="spellStart"/>
      <w:r>
        <w:rPr>
          <w:rFonts w:ascii="Calibri" w:hAnsi="Calibri" w:cs="Calibri"/>
          <w:sz w:val="22"/>
          <w:szCs w:val="22"/>
        </w:rPr>
        <w:t>Wratting</w:t>
      </w:r>
      <w:proofErr w:type="spellEnd"/>
      <w:r>
        <w:rPr>
          <w:rFonts w:ascii="Calibri" w:hAnsi="Calibri" w:cs="Calibri"/>
          <w:sz w:val="22"/>
          <w:szCs w:val="22"/>
        </w:rPr>
        <w:t xml:space="preserve"> serving the Haverhill Area of West Suffolk. </w:t>
      </w:r>
    </w:p>
    <w:p w14:paraId="37A56383" w14:textId="77777777" w:rsidR="0073290F" w:rsidRDefault="0073290F" w:rsidP="0073290F">
      <w:pPr>
        <w:pStyle w:val="NormalWeb"/>
        <w:contextualSpacing/>
        <w:jc w:val="both"/>
        <w:rPr>
          <w:rFonts w:ascii="Calibri" w:hAnsi="Calibri" w:cs="Calibri"/>
          <w:sz w:val="22"/>
          <w:szCs w:val="22"/>
        </w:rPr>
      </w:pPr>
    </w:p>
    <w:p w14:paraId="5EE76C22" w14:textId="77777777" w:rsidR="0073290F" w:rsidRPr="00F8607E"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The Plan Evidence Base includes a Cross Boundary Water Cycle Study prepared by Wood Environment &amp; Infrastructure Solutions UK Ltd dated January 2019, page </w:t>
      </w:r>
      <w:r w:rsidRPr="002361F4">
        <w:rPr>
          <w:rFonts w:ascii="Calibri" w:hAnsi="Calibri" w:cs="Calibri"/>
          <w:sz w:val="22"/>
          <w:szCs w:val="22"/>
        </w:rPr>
        <w:t>65 refer</w:t>
      </w:r>
      <w:r>
        <w:rPr>
          <w:rFonts w:ascii="Calibri" w:hAnsi="Calibri" w:cs="Calibri"/>
          <w:sz w:val="22"/>
          <w:szCs w:val="22"/>
        </w:rPr>
        <w:t>s</w:t>
      </w:r>
      <w:r w:rsidRPr="002361F4">
        <w:rPr>
          <w:rFonts w:ascii="Calibri" w:hAnsi="Calibri" w:cs="Calibri"/>
          <w:sz w:val="22"/>
          <w:szCs w:val="22"/>
        </w:rPr>
        <w:t xml:space="preserve"> to the fact ‘additional water treatment capacity’ will be required at </w:t>
      </w:r>
      <w:r>
        <w:rPr>
          <w:rFonts w:ascii="Calibri" w:hAnsi="Calibri" w:cs="Calibri"/>
          <w:sz w:val="22"/>
          <w:szCs w:val="22"/>
        </w:rPr>
        <w:t xml:space="preserve">7 sites including Felixstowe in 2030. The authors of the report do caveat themselves stating the assessment is </w:t>
      </w:r>
      <w:r w:rsidRPr="002361F4">
        <w:rPr>
          <w:rFonts w:ascii="Calibri" w:hAnsi="Calibri"/>
          <w:sz w:val="22"/>
          <w:szCs w:val="22"/>
        </w:rPr>
        <w:t xml:space="preserve">indicative only and is not representative of precise investment requirements for Anglian Water. </w:t>
      </w:r>
    </w:p>
    <w:p w14:paraId="6F2C427E" w14:textId="77777777" w:rsidR="0073290F" w:rsidRPr="00F8607E" w:rsidRDefault="0073290F" w:rsidP="0073290F">
      <w:pPr>
        <w:pStyle w:val="NormalWeb"/>
        <w:contextualSpacing/>
        <w:jc w:val="both"/>
        <w:rPr>
          <w:rFonts w:ascii="Calibri" w:hAnsi="Calibri" w:cs="Calibri"/>
          <w:sz w:val="22"/>
          <w:szCs w:val="22"/>
        </w:rPr>
      </w:pPr>
    </w:p>
    <w:p w14:paraId="0FFFDC6E" w14:textId="77777777" w:rsidR="0073290F" w:rsidRDefault="0073290F" w:rsidP="0073290F">
      <w:pPr>
        <w:pStyle w:val="NormalWeb"/>
        <w:numPr>
          <w:ilvl w:val="0"/>
          <w:numId w:val="1"/>
        </w:numPr>
        <w:contextualSpacing/>
        <w:jc w:val="both"/>
        <w:rPr>
          <w:rFonts w:ascii="Calibri" w:hAnsi="Calibri" w:cs="Calibri"/>
          <w:sz w:val="22"/>
          <w:szCs w:val="22"/>
        </w:rPr>
      </w:pPr>
      <w:r w:rsidRPr="002361F4">
        <w:rPr>
          <w:rFonts w:ascii="Calibri" w:hAnsi="Calibri"/>
          <w:sz w:val="22"/>
          <w:szCs w:val="22"/>
        </w:rPr>
        <w:lastRenderedPageBreak/>
        <w:t>Whilst Q80 (20%-</w:t>
      </w:r>
      <w:proofErr w:type="spellStart"/>
      <w:r w:rsidRPr="002361F4">
        <w:rPr>
          <w:rFonts w:ascii="Calibri" w:hAnsi="Calibri"/>
          <w:sz w:val="22"/>
          <w:szCs w:val="22"/>
        </w:rPr>
        <w:t>ile</w:t>
      </w:r>
      <w:proofErr w:type="spellEnd"/>
      <w:r w:rsidRPr="002361F4">
        <w:rPr>
          <w:rFonts w:ascii="Calibri" w:hAnsi="Calibri"/>
          <w:sz w:val="22"/>
          <w:szCs w:val="22"/>
        </w:rPr>
        <w:t>) flows are recognised as a good indicator of flow compliance, flows are only non-compliant if Q90 (10%-</w:t>
      </w:r>
      <w:proofErr w:type="spellStart"/>
      <w:r w:rsidRPr="002361F4">
        <w:rPr>
          <w:rFonts w:ascii="Calibri" w:hAnsi="Calibri"/>
          <w:sz w:val="22"/>
          <w:szCs w:val="22"/>
        </w:rPr>
        <w:t>ile</w:t>
      </w:r>
      <w:proofErr w:type="spellEnd"/>
      <w:r w:rsidRPr="002361F4">
        <w:rPr>
          <w:rFonts w:ascii="Calibri" w:hAnsi="Calibri"/>
          <w:sz w:val="22"/>
          <w:szCs w:val="22"/>
        </w:rPr>
        <w:t>) is breached. Nonetheless, in response to specific housing and employment site queries from SCDC17, Anglian Water have indicated that enhanced treatment capacity will be required at Framlingham</w:t>
      </w:r>
      <w:r>
        <w:rPr>
          <w:rFonts w:ascii="Calibri" w:hAnsi="Calibri"/>
          <w:sz w:val="22"/>
          <w:szCs w:val="22"/>
        </w:rPr>
        <w:t xml:space="preserve"> (by 2020)</w:t>
      </w:r>
      <w:r w:rsidRPr="002361F4">
        <w:rPr>
          <w:rFonts w:ascii="Calibri" w:hAnsi="Calibri"/>
          <w:sz w:val="22"/>
          <w:szCs w:val="22"/>
        </w:rPr>
        <w:t xml:space="preserve"> and </w:t>
      </w:r>
      <w:proofErr w:type="gramStart"/>
      <w:r w:rsidRPr="002361F4">
        <w:rPr>
          <w:rFonts w:ascii="Calibri" w:hAnsi="Calibri"/>
          <w:sz w:val="22"/>
          <w:szCs w:val="22"/>
        </w:rPr>
        <w:t>Kirton WRCs, and</w:t>
      </w:r>
      <w:proofErr w:type="gramEnd"/>
      <w:r w:rsidRPr="002361F4">
        <w:rPr>
          <w:rFonts w:ascii="Calibri" w:hAnsi="Calibri"/>
          <w:sz w:val="22"/>
          <w:szCs w:val="22"/>
        </w:rPr>
        <w:t xml:space="preserve"> may also be required at </w:t>
      </w:r>
      <w:proofErr w:type="spellStart"/>
      <w:r w:rsidRPr="002361F4">
        <w:rPr>
          <w:rFonts w:ascii="Calibri" w:hAnsi="Calibri"/>
          <w:sz w:val="22"/>
          <w:szCs w:val="22"/>
        </w:rPr>
        <w:t>Yoxford</w:t>
      </w:r>
      <w:proofErr w:type="spellEnd"/>
      <w:r w:rsidRPr="002361F4">
        <w:rPr>
          <w:rFonts w:ascii="Calibri" w:hAnsi="Calibri"/>
          <w:sz w:val="22"/>
          <w:szCs w:val="22"/>
        </w:rPr>
        <w:t xml:space="preserve"> WRC</w:t>
      </w:r>
      <w:r>
        <w:rPr>
          <w:rFonts w:ascii="Calibri" w:hAnsi="Calibri"/>
          <w:sz w:val="22"/>
          <w:szCs w:val="22"/>
        </w:rPr>
        <w:t xml:space="preserve"> (by 2025)</w:t>
      </w:r>
      <w:r w:rsidRPr="002361F4">
        <w:rPr>
          <w:rFonts w:ascii="Calibri" w:hAnsi="Calibri"/>
          <w:sz w:val="22"/>
          <w:szCs w:val="22"/>
        </w:rPr>
        <w:t>.</w:t>
      </w:r>
      <w:r>
        <w:rPr>
          <w:rFonts w:ascii="Calibri" w:hAnsi="Calibri"/>
          <w:sz w:val="22"/>
          <w:szCs w:val="22"/>
        </w:rPr>
        <w:t xml:space="preserve"> No mention of a date for Kirton.</w:t>
      </w:r>
      <w:r w:rsidRPr="002361F4">
        <w:rPr>
          <w:rFonts w:ascii="Calibri" w:hAnsi="Calibri"/>
          <w:sz w:val="22"/>
          <w:szCs w:val="22"/>
        </w:rPr>
        <w:t xml:space="preserve"> </w:t>
      </w:r>
    </w:p>
    <w:p w14:paraId="65B816CA" w14:textId="77777777" w:rsidR="0073290F" w:rsidRDefault="0073290F" w:rsidP="0073290F">
      <w:pPr>
        <w:pStyle w:val="ListParagraph"/>
        <w:rPr>
          <w:rFonts w:cs="Calibri"/>
        </w:rPr>
      </w:pPr>
    </w:p>
    <w:p w14:paraId="624F3160" w14:textId="77777777" w:rsidR="0073290F" w:rsidRPr="002E1C97"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This Study does not mention Trimley St Martin Treatment </w:t>
      </w:r>
      <w:proofErr w:type="gramStart"/>
      <w:r>
        <w:rPr>
          <w:rFonts w:ascii="Calibri" w:hAnsi="Calibri" w:cs="Calibri"/>
          <w:sz w:val="22"/>
          <w:szCs w:val="22"/>
        </w:rPr>
        <w:t>Centre</w:t>
      </w:r>
      <w:proofErr w:type="gramEnd"/>
      <w:r>
        <w:rPr>
          <w:rFonts w:ascii="Calibri" w:hAnsi="Calibri" w:cs="Calibri"/>
          <w:sz w:val="22"/>
          <w:szCs w:val="22"/>
        </w:rPr>
        <w:t xml:space="preserve"> nor does it make reference to the findings from the earlier studies and how they vary with the 2019 study.  The Plan Delivery Framework chart does not mention Kirton </w:t>
      </w:r>
      <w:proofErr w:type="gramStart"/>
      <w:r>
        <w:rPr>
          <w:rFonts w:ascii="Calibri" w:hAnsi="Calibri" w:cs="Calibri"/>
          <w:sz w:val="22"/>
          <w:szCs w:val="22"/>
        </w:rPr>
        <w:t>WRC</w:t>
      </w:r>
      <w:proofErr w:type="gramEnd"/>
      <w:r>
        <w:rPr>
          <w:rFonts w:ascii="Calibri" w:hAnsi="Calibri" w:cs="Calibri"/>
          <w:sz w:val="22"/>
          <w:szCs w:val="22"/>
        </w:rPr>
        <w:t xml:space="preserve"> yet reference is made at para 12.768 in The Plan</w:t>
      </w:r>
    </w:p>
    <w:p w14:paraId="13262298" w14:textId="77777777" w:rsidR="0073290F" w:rsidRDefault="0073290F" w:rsidP="0073290F">
      <w:pPr>
        <w:pStyle w:val="NormalWeb"/>
        <w:ind w:left="927"/>
        <w:contextualSpacing/>
        <w:jc w:val="both"/>
        <w:rPr>
          <w:rFonts w:ascii="Calibri" w:hAnsi="Calibri" w:cs="Calibri"/>
          <w:sz w:val="22"/>
          <w:szCs w:val="22"/>
        </w:rPr>
      </w:pPr>
    </w:p>
    <w:p w14:paraId="3909D838" w14:textId="77777777" w:rsidR="0073290F"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Policy SCLP 3.5 page 56 of The Plan refers “Specifically, developers should provide evidence to ensure there is capacity in the water recycling centre and the wastewater network in time to serve the development. Where there is no capacity in the water recycling centre, development may need to be phased in order to allow improvement works to take place. The agreed improvements should be in place before occupation of the proposed dwellings in order to avoid a breach of environmental legislations” </w:t>
      </w:r>
    </w:p>
    <w:p w14:paraId="49B89C42" w14:textId="77777777" w:rsidR="0073290F" w:rsidRDefault="0073290F" w:rsidP="0073290F">
      <w:pPr>
        <w:pStyle w:val="NormalWeb"/>
        <w:ind w:left="720"/>
        <w:contextualSpacing/>
        <w:jc w:val="both"/>
        <w:rPr>
          <w:rFonts w:ascii="Calibri" w:hAnsi="Calibri" w:cs="Calibri"/>
          <w:sz w:val="22"/>
          <w:szCs w:val="22"/>
        </w:rPr>
      </w:pPr>
    </w:p>
    <w:p w14:paraId="4A4F677E" w14:textId="77777777" w:rsidR="0073290F" w:rsidRDefault="0073290F" w:rsidP="0073290F">
      <w:pPr>
        <w:pStyle w:val="NormalWeb"/>
        <w:numPr>
          <w:ilvl w:val="0"/>
          <w:numId w:val="1"/>
        </w:numPr>
        <w:contextualSpacing/>
        <w:jc w:val="both"/>
        <w:rPr>
          <w:rFonts w:ascii="Calibri" w:hAnsi="Calibri" w:cs="Calibri"/>
          <w:sz w:val="22"/>
          <w:szCs w:val="22"/>
        </w:rPr>
      </w:pPr>
      <w:proofErr w:type="gramStart"/>
      <w:r>
        <w:rPr>
          <w:rFonts w:ascii="Calibri" w:hAnsi="Calibri" w:cs="Calibri"/>
          <w:sz w:val="22"/>
          <w:szCs w:val="22"/>
        </w:rPr>
        <w:t>However</w:t>
      </w:r>
      <w:proofErr w:type="gramEnd"/>
      <w:r>
        <w:rPr>
          <w:rFonts w:ascii="Calibri" w:hAnsi="Calibri" w:cs="Calibri"/>
          <w:sz w:val="22"/>
          <w:szCs w:val="22"/>
        </w:rPr>
        <w:t xml:space="preserve"> the developer is only responsible for the additional burden their development would create not any existing deficits in the quality of the existing network </w:t>
      </w:r>
    </w:p>
    <w:p w14:paraId="63422C9B" w14:textId="77777777" w:rsidR="0073290F" w:rsidRPr="00E4328C" w:rsidRDefault="0073290F" w:rsidP="0073290F">
      <w:pPr>
        <w:pStyle w:val="NormalWeb"/>
        <w:contextualSpacing/>
        <w:jc w:val="both"/>
        <w:rPr>
          <w:rFonts w:ascii="Calibri" w:hAnsi="Calibri" w:cs="Calibri"/>
          <w:sz w:val="22"/>
          <w:szCs w:val="22"/>
        </w:rPr>
      </w:pPr>
    </w:p>
    <w:p w14:paraId="7CB61C5C" w14:textId="77777777" w:rsidR="0073290F" w:rsidRPr="00C3741D" w:rsidRDefault="0073290F" w:rsidP="0073290F">
      <w:pPr>
        <w:pStyle w:val="NormalWeb"/>
        <w:numPr>
          <w:ilvl w:val="0"/>
          <w:numId w:val="1"/>
        </w:numPr>
        <w:contextualSpacing/>
        <w:jc w:val="both"/>
        <w:rPr>
          <w:rFonts w:ascii="Calibri" w:hAnsi="Calibri" w:cs="Calibri"/>
          <w:sz w:val="22"/>
          <w:szCs w:val="22"/>
        </w:rPr>
      </w:pPr>
      <w:r w:rsidRPr="00470DB0">
        <w:rPr>
          <w:rFonts w:ascii="Calibri" w:hAnsi="Calibri"/>
          <w:sz w:val="22"/>
          <w:szCs w:val="22"/>
        </w:rPr>
        <w:t>Given the earlier ‘red flags’ regarding Felixstowe Water Re-Cycling Centre and the lack of action to address such needs at an earlier date the potential amount of work to be undertaken appears unknown, in terms of scale, time and cost</w:t>
      </w:r>
      <w:r>
        <w:t xml:space="preserve">. </w:t>
      </w:r>
      <w:proofErr w:type="gramStart"/>
      <w:r w:rsidRPr="00470DB0">
        <w:rPr>
          <w:rFonts w:ascii="Calibri" w:hAnsi="Calibri"/>
          <w:sz w:val="22"/>
          <w:szCs w:val="22"/>
        </w:rPr>
        <w:t>However</w:t>
      </w:r>
      <w:proofErr w:type="gramEnd"/>
      <w:r w:rsidRPr="00470DB0">
        <w:rPr>
          <w:rFonts w:ascii="Calibri" w:hAnsi="Calibri"/>
          <w:sz w:val="22"/>
          <w:szCs w:val="22"/>
        </w:rPr>
        <w:t xml:space="preserve"> t</w:t>
      </w:r>
      <w:r w:rsidRPr="00470DB0">
        <w:rPr>
          <w:rFonts w:ascii="Calibri" w:hAnsi="Calibri" w:cs="Calibri"/>
          <w:sz w:val="22"/>
          <w:szCs w:val="22"/>
        </w:rPr>
        <w:t xml:space="preserve">he </w:t>
      </w:r>
      <w:r>
        <w:rPr>
          <w:rFonts w:ascii="Calibri" w:hAnsi="Calibri" w:cs="Calibri"/>
          <w:sz w:val="22"/>
          <w:szCs w:val="22"/>
        </w:rPr>
        <w:t xml:space="preserve">2019 Study appears to be </w:t>
      </w:r>
      <w:r w:rsidRPr="00470DB0">
        <w:rPr>
          <w:rFonts w:ascii="Calibri" w:hAnsi="Calibri" w:cs="Calibri"/>
          <w:sz w:val="22"/>
          <w:szCs w:val="22"/>
        </w:rPr>
        <w:t>a clear dilution of the findings described in the</w:t>
      </w:r>
      <w:r>
        <w:rPr>
          <w:rFonts w:ascii="Calibri" w:hAnsi="Calibri" w:cs="Calibri"/>
          <w:sz w:val="22"/>
          <w:szCs w:val="22"/>
        </w:rPr>
        <w:t>se</w:t>
      </w:r>
      <w:r w:rsidRPr="00470DB0">
        <w:rPr>
          <w:rFonts w:ascii="Calibri" w:hAnsi="Calibri" w:cs="Calibri"/>
          <w:sz w:val="22"/>
          <w:szCs w:val="22"/>
        </w:rPr>
        <w:t xml:space="preserve"> earlier studies and The Plan has failed to acknowledge the reasons for this</w:t>
      </w:r>
      <w:r>
        <w:rPr>
          <w:rFonts w:ascii="Calibri" w:hAnsi="Calibri" w:cs="Calibri"/>
          <w:sz w:val="22"/>
          <w:szCs w:val="22"/>
        </w:rPr>
        <w:t xml:space="preserve">. </w:t>
      </w:r>
      <w:proofErr w:type="gramStart"/>
      <w:r>
        <w:rPr>
          <w:rFonts w:ascii="Calibri" w:hAnsi="Calibri" w:cs="Calibri"/>
          <w:sz w:val="22"/>
          <w:szCs w:val="22"/>
        </w:rPr>
        <w:t>Consequently</w:t>
      </w:r>
      <w:proofErr w:type="gramEnd"/>
      <w:r>
        <w:rPr>
          <w:rFonts w:ascii="Calibri" w:hAnsi="Calibri" w:cs="Calibri"/>
          <w:sz w:val="22"/>
          <w:szCs w:val="22"/>
        </w:rPr>
        <w:t xml:space="preserve"> </w:t>
      </w:r>
      <w:r w:rsidRPr="00470DB0">
        <w:rPr>
          <w:rFonts w:ascii="Calibri" w:hAnsi="Calibri" w:cs="Calibri"/>
          <w:sz w:val="22"/>
          <w:szCs w:val="22"/>
        </w:rPr>
        <w:t xml:space="preserve">there </w:t>
      </w:r>
      <w:r>
        <w:rPr>
          <w:rFonts w:ascii="Calibri" w:hAnsi="Calibri" w:cs="Calibri"/>
          <w:sz w:val="22"/>
          <w:szCs w:val="22"/>
        </w:rPr>
        <w:t xml:space="preserve">is </w:t>
      </w:r>
      <w:r w:rsidRPr="00470DB0">
        <w:rPr>
          <w:rFonts w:ascii="Calibri" w:hAnsi="Calibri" w:cs="Calibri"/>
          <w:sz w:val="22"/>
          <w:szCs w:val="22"/>
        </w:rPr>
        <w:t>a huge difference between the earlier and latter delivery capabilities th</w:t>
      </w:r>
      <w:r>
        <w:rPr>
          <w:rFonts w:ascii="Calibri" w:hAnsi="Calibri" w:cs="Calibri"/>
          <w:sz w:val="22"/>
          <w:szCs w:val="22"/>
        </w:rPr>
        <w:t xml:space="preserve">at would clearly </w:t>
      </w:r>
      <w:r w:rsidRPr="00470DB0">
        <w:rPr>
          <w:rFonts w:ascii="Calibri" w:hAnsi="Calibri" w:cs="Calibri"/>
          <w:sz w:val="22"/>
          <w:szCs w:val="22"/>
        </w:rPr>
        <w:t xml:space="preserve">affect the </w:t>
      </w:r>
      <w:r>
        <w:rPr>
          <w:rFonts w:ascii="Calibri" w:hAnsi="Calibri" w:cs="Calibri"/>
          <w:sz w:val="22"/>
          <w:szCs w:val="22"/>
        </w:rPr>
        <w:t xml:space="preserve">deliverability and thus </w:t>
      </w:r>
      <w:r w:rsidRPr="00470DB0">
        <w:rPr>
          <w:rFonts w:ascii="Calibri" w:hAnsi="Calibri" w:cs="Calibri"/>
          <w:sz w:val="22"/>
          <w:szCs w:val="22"/>
        </w:rPr>
        <w:t xml:space="preserve">viability of the growth sites.  </w:t>
      </w:r>
    </w:p>
    <w:p w14:paraId="716ADE65" w14:textId="77777777" w:rsidR="0073290F" w:rsidRDefault="0073290F" w:rsidP="0073290F">
      <w:pPr>
        <w:autoSpaceDE w:val="0"/>
        <w:autoSpaceDN w:val="0"/>
        <w:adjustRightInd w:val="0"/>
        <w:spacing w:after="0" w:line="240" w:lineRule="auto"/>
        <w:ind w:left="927"/>
      </w:pPr>
    </w:p>
    <w:p w14:paraId="2BE2B4F7" w14:textId="77777777" w:rsidR="0073290F" w:rsidRDefault="0073290F" w:rsidP="0073290F">
      <w:pPr>
        <w:numPr>
          <w:ilvl w:val="0"/>
          <w:numId w:val="1"/>
        </w:numPr>
        <w:autoSpaceDE w:val="0"/>
        <w:autoSpaceDN w:val="0"/>
        <w:adjustRightInd w:val="0"/>
        <w:spacing w:after="0" w:line="240" w:lineRule="auto"/>
      </w:pPr>
      <w:r>
        <w:t xml:space="preserve">These differences make the true situation most confusing therefore </w:t>
      </w:r>
      <w:proofErr w:type="spellStart"/>
      <w:r>
        <w:t>Katcag</w:t>
      </w:r>
      <w:proofErr w:type="spellEnd"/>
      <w:r>
        <w:t xml:space="preserve"> contend The Plan is undeliverable and consequently not effective and is, therefore, unsound.  </w:t>
      </w:r>
    </w:p>
    <w:p w14:paraId="33452D57" w14:textId="77777777" w:rsidR="0073290F" w:rsidRDefault="0073290F" w:rsidP="0073290F">
      <w:pPr>
        <w:pStyle w:val="ListParagraph"/>
      </w:pPr>
    </w:p>
    <w:p w14:paraId="7FE932A0" w14:textId="77777777" w:rsidR="0073290F" w:rsidRPr="007C371F" w:rsidRDefault="0073290F" w:rsidP="0073290F">
      <w:pPr>
        <w:pStyle w:val="NormalWeb"/>
        <w:contextualSpacing/>
        <w:jc w:val="both"/>
        <w:rPr>
          <w:rFonts w:ascii="Calibri" w:hAnsi="Calibri" w:cs="Calibri"/>
          <w:sz w:val="22"/>
          <w:szCs w:val="22"/>
        </w:rPr>
      </w:pPr>
      <w:r>
        <w:rPr>
          <w:rFonts w:ascii="Calibri" w:hAnsi="Calibri" w:cs="Calibri"/>
          <w:b/>
          <w:sz w:val="22"/>
          <w:szCs w:val="22"/>
        </w:rPr>
        <w:t xml:space="preserve">Not </w:t>
      </w:r>
      <w:r w:rsidRPr="0004754D">
        <w:rPr>
          <w:rFonts w:ascii="Calibri" w:hAnsi="Calibri" w:cs="Calibri"/>
          <w:b/>
          <w:sz w:val="22"/>
          <w:szCs w:val="22"/>
        </w:rPr>
        <w:t>Positively Prepared – Infrastructure</w:t>
      </w:r>
      <w:r>
        <w:rPr>
          <w:rFonts w:ascii="Calibri" w:hAnsi="Calibri" w:cs="Calibri"/>
          <w:b/>
          <w:sz w:val="22"/>
          <w:szCs w:val="22"/>
        </w:rPr>
        <w:t xml:space="preserve"> - Power</w:t>
      </w:r>
    </w:p>
    <w:p w14:paraId="30482407" w14:textId="77777777" w:rsidR="0073290F" w:rsidRDefault="0073290F" w:rsidP="0073290F">
      <w:pPr>
        <w:pStyle w:val="NormalWeb"/>
        <w:ind w:left="720"/>
        <w:contextualSpacing/>
        <w:jc w:val="both"/>
        <w:rPr>
          <w:rFonts w:ascii="Calibri" w:hAnsi="Calibri" w:cs="Calibri"/>
          <w:sz w:val="22"/>
          <w:szCs w:val="22"/>
        </w:rPr>
      </w:pPr>
    </w:p>
    <w:p w14:paraId="5A9AFCC7" w14:textId="77777777" w:rsidR="0073290F" w:rsidRDefault="0073290F" w:rsidP="0073290F">
      <w:pPr>
        <w:pStyle w:val="NormalWeb"/>
        <w:numPr>
          <w:ilvl w:val="0"/>
          <w:numId w:val="1"/>
        </w:numPr>
        <w:contextualSpacing/>
        <w:jc w:val="both"/>
        <w:rPr>
          <w:rFonts w:ascii="Calibri" w:hAnsi="Calibri"/>
          <w:sz w:val="22"/>
          <w:szCs w:val="22"/>
        </w:rPr>
      </w:pPr>
      <w:r w:rsidRPr="007C371F">
        <w:rPr>
          <w:rFonts w:ascii="Calibri" w:hAnsi="Calibri" w:cs="Calibri"/>
          <w:sz w:val="22"/>
          <w:szCs w:val="22"/>
        </w:rPr>
        <w:t xml:space="preserve">The Felixstowe Infrastructure Study 2009 </w:t>
      </w:r>
      <w:r>
        <w:rPr>
          <w:rFonts w:ascii="Calibri" w:hAnsi="Calibri" w:cs="Calibri"/>
          <w:sz w:val="22"/>
          <w:szCs w:val="22"/>
        </w:rPr>
        <w:t xml:space="preserve">under ‘key findings’ stated that </w:t>
      </w:r>
      <w:r>
        <w:rPr>
          <w:rFonts w:ascii="Calibri" w:hAnsi="Calibri"/>
          <w:sz w:val="22"/>
          <w:szCs w:val="22"/>
        </w:rPr>
        <w:t>‘n</w:t>
      </w:r>
      <w:r w:rsidRPr="00FD6E0C">
        <w:rPr>
          <w:rFonts w:ascii="Calibri" w:hAnsi="Calibri"/>
          <w:sz w:val="22"/>
          <w:szCs w:val="22"/>
        </w:rPr>
        <w:t>o specific requirements for infrastruct</w:t>
      </w:r>
      <w:r>
        <w:rPr>
          <w:rFonts w:ascii="Calibri" w:hAnsi="Calibri"/>
          <w:sz w:val="22"/>
          <w:szCs w:val="22"/>
        </w:rPr>
        <w:t>ure have been identified at that</w:t>
      </w:r>
      <w:r w:rsidRPr="00FD6E0C">
        <w:rPr>
          <w:rFonts w:ascii="Calibri" w:hAnsi="Calibri"/>
          <w:sz w:val="22"/>
          <w:szCs w:val="22"/>
        </w:rPr>
        <w:t xml:space="preserve"> stage</w:t>
      </w:r>
      <w:r>
        <w:rPr>
          <w:rFonts w:ascii="Calibri" w:hAnsi="Calibri"/>
          <w:sz w:val="22"/>
          <w:szCs w:val="22"/>
        </w:rPr>
        <w:t xml:space="preserve"> (2012)</w:t>
      </w:r>
      <w:r w:rsidRPr="00FD6E0C">
        <w:rPr>
          <w:rFonts w:ascii="Calibri" w:hAnsi="Calibri"/>
          <w:sz w:val="22"/>
          <w:szCs w:val="22"/>
        </w:rPr>
        <w:t>. H</w:t>
      </w:r>
      <w:r>
        <w:rPr>
          <w:rFonts w:ascii="Calibri" w:hAnsi="Calibri"/>
          <w:sz w:val="22"/>
          <w:szCs w:val="22"/>
        </w:rPr>
        <w:t xml:space="preserve">owever, it was </w:t>
      </w:r>
      <w:r w:rsidRPr="00FD6E0C">
        <w:rPr>
          <w:rFonts w:ascii="Calibri" w:hAnsi="Calibri"/>
          <w:sz w:val="22"/>
          <w:szCs w:val="22"/>
        </w:rPr>
        <w:t xml:space="preserve">indicated that, depending on the type of development </w:t>
      </w:r>
      <w:r>
        <w:rPr>
          <w:rFonts w:ascii="Calibri" w:hAnsi="Calibri"/>
          <w:sz w:val="22"/>
          <w:szCs w:val="22"/>
        </w:rPr>
        <w:t xml:space="preserve">taking place </w:t>
      </w:r>
      <w:r w:rsidRPr="00FD6E0C">
        <w:rPr>
          <w:rFonts w:ascii="Calibri" w:hAnsi="Calibri"/>
          <w:sz w:val="22"/>
          <w:szCs w:val="22"/>
        </w:rPr>
        <w:t xml:space="preserve">there may be a requirement for a new 33/11 kV substation, possibly between the </w:t>
      </w:r>
      <w:proofErr w:type="spellStart"/>
      <w:r w:rsidRPr="00FD6E0C">
        <w:rPr>
          <w:rFonts w:ascii="Calibri" w:hAnsi="Calibri"/>
          <w:sz w:val="22"/>
          <w:szCs w:val="22"/>
        </w:rPr>
        <w:t>Trimleys</w:t>
      </w:r>
      <w:proofErr w:type="spellEnd"/>
      <w:r w:rsidRPr="00FD6E0C">
        <w:rPr>
          <w:rFonts w:ascii="Calibri" w:hAnsi="Calibri"/>
          <w:sz w:val="22"/>
          <w:szCs w:val="22"/>
        </w:rPr>
        <w:t xml:space="preserve">. </w:t>
      </w:r>
    </w:p>
    <w:p w14:paraId="06E04F24" w14:textId="77777777" w:rsidR="0073290F" w:rsidRDefault="0073290F" w:rsidP="0073290F">
      <w:pPr>
        <w:pStyle w:val="NormalWeb"/>
        <w:ind w:left="720"/>
        <w:contextualSpacing/>
        <w:jc w:val="both"/>
        <w:rPr>
          <w:rFonts w:ascii="Calibri" w:hAnsi="Calibri"/>
          <w:sz w:val="22"/>
          <w:szCs w:val="22"/>
        </w:rPr>
      </w:pPr>
    </w:p>
    <w:p w14:paraId="6648BA51" w14:textId="77777777" w:rsidR="0073290F" w:rsidRDefault="0073290F" w:rsidP="0073290F">
      <w:pPr>
        <w:pStyle w:val="NormalWeb"/>
        <w:numPr>
          <w:ilvl w:val="0"/>
          <w:numId w:val="1"/>
        </w:numPr>
        <w:contextualSpacing/>
        <w:jc w:val="both"/>
        <w:rPr>
          <w:rFonts w:ascii="Calibri" w:hAnsi="Calibri"/>
          <w:sz w:val="22"/>
          <w:szCs w:val="22"/>
        </w:rPr>
      </w:pPr>
      <w:r w:rsidRPr="00FD6E0C">
        <w:rPr>
          <w:rFonts w:ascii="Calibri" w:hAnsi="Calibri"/>
          <w:sz w:val="22"/>
          <w:szCs w:val="22"/>
        </w:rPr>
        <w:t xml:space="preserve">At the time the report indicated that funding would </w:t>
      </w:r>
      <w:r>
        <w:rPr>
          <w:rFonts w:ascii="Calibri" w:hAnsi="Calibri"/>
          <w:sz w:val="22"/>
          <w:szCs w:val="22"/>
        </w:rPr>
        <w:t xml:space="preserve">likely </w:t>
      </w:r>
      <w:r w:rsidRPr="00FD6E0C">
        <w:rPr>
          <w:rFonts w:ascii="Calibri" w:hAnsi="Calibri"/>
          <w:sz w:val="22"/>
          <w:szCs w:val="22"/>
        </w:rPr>
        <w:t xml:space="preserve">come mostly from developers and would need a lead-in time of two to three years. </w:t>
      </w:r>
    </w:p>
    <w:p w14:paraId="0F20B602" w14:textId="77777777" w:rsidR="0073290F" w:rsidRPr="00263EBB" w:rsidRDefault="0073290F" w:rsidP="0073290F">
      <w:pPr>
        <w:pStyle w:val="NormalWeb"/>
        <w:contextualSpacing/>
        <w:jc w:val="both"/>
        <w:rPr>
          <w:rFonts w:ascii="Calibri" w:hAnsi="Calibri"/>
          <w:sz w:val="22"/>
          <w:szCs w:val="22"/>
        </w:rPr>
      </w:pPr>
    </w:p>
    <w:p w14:paraId="74F31283" w14:textId="77777777" w:rsidR="0073290F" w:rsidRDefault="0073290F" w:rsidP="0073290F">
      <w:pPr>
        <w:pStyle w:val="NormalWeb"/>
        <w:numPr>
          <w:ilvl w:val="0"/>
          <w:numId w:val="1"/>
        </w:numPr>
        <w:contextualSpacing/>
        <w:jc w:val="both"/>
        <w:rPr>
          <w:rFonts w:ascii="Calibri" w:hAnsi="Calibri"/>
          <w:sz w:val="22"/>
          <w:szCs w:val="22"/>
        </w:rPr>
      </w:pPr>
      <w:r>
        <w:rPr>
          <w:rFonts w:ascii="Calibri" w:hAnsi="Calibri"/>
          <w:sz w:val="22"/>
          <w:szCs w:val="22"/>
        </w:rPr>
        <w:t xml:space="preserve">The Plan Delivery Framework page 454 identifies not only the above power need as ‘critical’ with a price tag of £35m but additional critical new primary substations at Innocence Farm and </w:t>
      </w:r>
      <w:proofErr w:type="spellStart"/>
      <w:r>
        <w:rPr>
          <w:rFonts w:ascii="Calibri" w:hAnsi="Calibri"/>
          <w:sz w:val="22"/>
          <w:szCs w:val="22"/>
        </w:rPr>
        <w:t>Sevenhills</w:t>
      </w:r>
      <w:proofErr w:type="spellEnd"/>
      <w:r>
        <w:rPr>
          <w:rFonts w:ascii="Calibri" w:hAnsi="Calibri"/>
          <w:sz w:val="22"/>
          <w:szCs w:val="22"/>
        </w:rPr>
        <w:t xml:space="preserve"> Roundabout. Whilst the funding source for the Felixstowe upgrade is shown as UK Power Networks &amp; OFGEM, developers shall be responsible for funding the unknown indicative costs for the other two projects. </w:t>
      </w:r>
    </w:p>
    <w:p w14:paraId="2C1A16BD" w14:textId="77777777" w:rsidR="0073290F" w:rsidRPr="00FD6E0C" w:rsidRDefault="0073290F" w:rsidP="0073290F">
      <w:pPr>
        <w:pStyle w:val="NormalWeb"/>
        <w:contextualSpacing/>
        <w:jc w:val="both"/>
        <w:rPr>
          <w:rFonts w:ascii="Calibri" w:hAnsi="Calibri"/>
          <w:sz w:val="22"/>
          <w:szCs w:val="22"/>
        </w:rPr>
      </w:pPr>
    </w:p>
    <w:p w14:paraId="7FE720E8" w14:textId="77777777" w:rsidR="0073290F" w:rsidRDefault="0073290F" w:rsidP="0073290F">
      <w:pPr>
        <w:pStyle w:val="NormalWeb"/>
        <w:numPr>
          <w:ilvl w:val="0"/>
          <w:numId w:val="1"/>
        </w:numPr>
        <w:contextualSpacing/>
        <w:jc w:val="both"/>
        <w:rPr>
          <w:rFonts w:ascii="Calibri" w:hAnsi="Calibri"/>
          <w:sz w:val="22"/>
          <w:szCs w:val="22"/>
        </w:rPr>
      </w:pPr>
      <w:r>
        <w:rPr>
          <w:rFonts w:ascii="Calibri" w:hAnsi="Calibri"/>
          <w:sz w:val="22"/>
          <w:szCs w:val="22"/>
        </w:rPr>
        <w:t xml:space="preserve">Given the earlier indication that developers would be largely called upon to finance the Felixstowe upgrade and that developers would also be called upon to finance the new primary substations how certain is it that developers will not be called upon to fund the ‘potential funding gap’. If that is the case then that could affect the viability of these </w:t>
      </w:r>
      <w:proofErr w:type="gramStart"/>
      <w:r>
        <w:rPr>
          <w:rFonts w:ascii="Calibri" w:hAnsi="Calibri"/>
          <w:sz w:val="22"/>
          <w:szCs w:val="22"/>
        </w:rPr>
        <w:t>particular projects</w:t>
      </w:r>
      <w:proofErr w:type="gramEnd"/>
      <w:r>
        <w:rPr>
          <w:rFonts w:ascii="Calibri" w:hAnsi="Calibri"/>
          <w:sz w:val="22"/>
          <w:szCs w:val="22"/>
        </w:rPr>
        <w:t xml:space="preserve"> and thus render The Plan as undeliverable and therefore unsound.</w:t>
      </w:r>
    </w:p>
    <w:p w14:paraId="60E652B9" w14:textId="77777777" w:rsidR="0073290F" w:rsidRPr="0004754D" w:rsidRDefault="0073290F" w:rsidP="0073290F">
      <w:pPr>
        <w:contextualSpacing/>
        <w:jc w:val="both"/>
        <w:rPr>
          <w:rFonts w:cs="Calibri"/>
          <w:b/>
        </w:rPr>
      </w:pPr>
      <w:r>
        <w:rPr>
          <w:rFonts w:cs="Calibri"/>
          <w:b/>
        </w:rPr>
        <w:t xml:space="preserve">Infrastructure - Local </w:t>
      </w:r>
      <w:r w:rsidRPr="0004754D">
        <w:rPr>
          <w:rFonts w:cs="Calibri"/>
          <w:b/>
        </w:rPr>
        <w:t>Transport Effect</w:t>
      </w:r>
    </w:p>
    <w:p w14:paraId="7F007984" w14:textId="77777777" w:rsidR="0073290F" w:rsidRPr="0004754D" w:rsidRDefault="0073290F" w:rsidP="0073290F">
      <w:pPr>
        <w:contextualSpacing/>
        <w:jc w:val="both"/>
        <w:rPr>
          <w:rFonts w:cs="Calibri"/>
        </w:rPr>
      </w:pPr>
    </w:p>
    <w:p w14:paraId="5042B5E3" w14:textId="77777777" w:rsidR="0073290F" w:rsidRDefault="0073290F" w:rsidP="0073290F">
      <w:pPr>
        <w:numPr>
          <w:ilvl w:val="0"/>
          <w:numId w:val="1"/>
        </w:numPr>
        <w:contextualSpacing/>
        <w:jc w:val="both"/>
        <w:rPr>
          <w:rFonts w:cs="Calibri"/>
        </w:rPr>
      </w:pPr>
      <w:r w:rsidRPr="0004754D">
        <w:rPr>
          <w:rFonts w:cs="Calibri"/>
        </w:rPr>
        <w:t xml:space="preserve">The Local Plan has identified that access from the proposed development onto Howlett Way needs to be considered through a transport assessment as part of any future planning assessment. </w:t>
      </w:r>
      <w:r>
        <w:rPr>
          <w:rFonts w:cs="Calibri"/>
        </w:rPr>
        <w:t>However there needs to be a far wider assessment to consider the impact upon the pinch point at the roundabout at the junction of High Road (C Class Road) and Howlett Way especially during peak hours.</w:t>
      </w:r>
    </w:p>
    <w:p w14:paraId="2A48A5E6" w14:textId="77777777" w:rsidR="0073290F" w:rsidRDefault="0073290F" w:rsidP="0073290F">
      <w:pPr>
        <w:contextualSpacing/>
        <w:jc w:val="both"/>
        <w:rPr>
          <w:rFonts w:cs="Calibri"/>
        </w:rPr>
      </w:pPr>
    </w:p>
    <w:p w14:paraId="401139A1" w14:textId="77777777" w:rsidR="0073290F" w:rsidRPr="0047011D" w:rsidRDefault="0073290F" w:rsidP="0073290F">
      <w:pPr>
        <w:numPr>
          <w:ilvl w:val="0"/>
          <w:numId w:val="1"/>
        </w:numPr>
        <w:contextualSpacing/>
        <w:jc w:val="both"/>
        <w:rPr>
          <w:rFonts w:cs="Calibri"/>
        </w:rPr>
      </w:pPr>
      <w:r>
        <w:rPr>
          <w:rFonts w:cs="Calibri"/>
        </w:rPr>
        <w:t xml:space="preserve">The </w:t>
      </w:r>
      <w:proofErr w:type="gramStart"/>
      <w:r>
        <w:rPr>
          <w:rFonts w:cs="Calibri"/>
        </w:rPr>
        <w:t>amount</w:t>
      </w:r>
      <w:proofErr w:type="gramEnd"/>
      <w:r>
        <w:rPr>
          <w:rFonts w:cs="Calibri"/>
        </w:rPr>
        <w:t xml:space="preserve"> of additional vehicles </w:t>
      </w:r>
      <w:r w:rsidRPr="0004754D">
        <w:rPr>
          <w:rFonts w:cs="Calibri"/>
        </w:rPr>
        <w:t>arising from existing and proposed housi</w:t>
      </w:r>
      <w:r>
        <w:rPr>
          <w:rFonts w:cs="Calibri"/>
        </w:rPr>
        <w:t xml:space="preserve">ng developments, together with </w:t>
      </w:r>
      <w:r w:rsidRPr="0004754D">
        <w:rPr>
          <w:rFonts w:cs="Calibri"/>
        </w:rPr>
        <w:t>dropping off</w:t>
      </w:r>
      <w:r>
        <w:rPr>
          <w:rFonts w:cs="Calibri"/>
        </w:rPr>
        <w:t>/pick up</w:t>
      </w:r>
      <w:r w:rsidRPr="0004754D">
        <w:rPr>
          <w:rFonts w:cs="Calibri"/>
        </w:rPr>
        <w:t xml:space="preserve"> for the proposed primary school and early years provision, is likely to significantly increase vehicle movements in the immediate area with every likelihood traffic</w:t>
      </w:r>
      <w:r>
        <w:rPr>
          <w:rFonts w:cs="Calibri"/>
        </w:rPr>
        <w:t xml:space="preserve"> </w:t>
      </w:r>
      <w:r w:rsidRPr="0004754D">
        <w:rPr>
          <w:rFonts w:cs="Calibri"/>
        </w:rPr>
        <w:t>queues</w:t>
      </w:r>
      <w:r>
        <w:rPr>
          <w:rFonts w:cs="Calibri"/>
        </w:rPr>
        <w:t xml:space="preserve"> </w:t>
      </w:r>
      <w:r w:rsidRPr="0004754D">
        <w:rPr>
          <w:rFonts w:cs="Calibri"/>
        </w:rPr>
        <w:t>will</w:t>
      </w:r>
      <w:r>
        <w:rPr>
          <w:rFonts w:cs="Calibri"/>
        </w:rPr>
        <w:t xml:space="preserve"> </w:t>
      </w:r>
      <w:r w:rsidRPr="0004754D">
        <w:rPr>
          <w:rFonts w:cs="Calibri"/>
        </w:rPr>
        <w:t xml:space="preserve">tail back </w:t>
      </w:r>
      <w:r>
        <w:rPr>
          <w:rFonts w:cs="Calibri"/>
        </w:rPr>
        <w:t>along the High Road and the A14 at regular intervals</w:t>
      </w:r>
    </w:p>
    <w:p w14:paraId="6FDC9D7E" w14:textId="77777777" w:rsidR="0073290F" w:rsidRDefault="0073290F" w:rsidP="0073290F">
      <w:pPr>
        <w:ind w:left="927"/>
        <w:contextualSpacing/>
        <w:jc w:val="both"/>
        <w:rPr>
          <w:rFonts w:cs="Calibri"/>
        </w:rPr>
      </w:pPr>
    </w:p>
    <w:p w14:paraId="7D92D9F7" w14:textId="77777777" w:rsidR="0073290F" w:rsidRPr="0047011D" w:rsidRDefault="0073290F" w:rsidP="0073290F">
      <w:pPr>
        <w:numPr>
          <w:ilvl w:val="0"/>
          <w:numId w:val="1"/>
        </w:numPr>
        <w:contextualSpacing/>
        <w:jc w:val="both"/>
        <w:rPr>
          <w:rFonts w:cs="Calibri"/>
        </w:rPr>
      </w:pPr>
      <w:r w:rsidRPr="0047011D">
        <w:rPr>
          <w:rFonts w:cs="Calibri"/>
        </w:rPr>
        <w:t xml:space="preserve">Safety issues shall arise with students crossing the busy High Road and when buses stop at their appointed stops either side of the road opposite Reeve Lodge and near to a traffic island congestion often arises. </w:t>
      </w:r>
    </w:p>
    <w:p w14:paraId="05C0C7DA" w14:textId="77777777" w:rsidR="0073290F" w:rsidRDefault="0073290F" w:rsidP="0073290F">
      <w:pPr>
        <w:ind w:left="927"/>
        <w:contextualSpacing/>
        <w:jc w:val="both"/>
        <w:rPr>
          <w:rFonts w:cs="Calibri"/>
        </w:rPr>
      </w:pPr>
    </w:p>
    <w:p w14:paraId="4FBFB80F" w14:textId="77777777" w:rsidR="0073290F" w:rsidRPr="0047011D" w:rsidRDefault="0073290F" w:rsidP="0073290F">
      <w:pPr>
        <w:numPr>
          <w:ilvl w:val="0"/>
          <w:numId w:val="1"/>
        </w:numPr>
        <w:contextualSpacing/>
        <w:jc w:val="both"/>
        <w:rPr>
          <w:rFonts w:cs="Calibri"/>
        </w:rPr>
      </w:pPr>
      <w:r w:rsidRPr="0047011D">
        <w:rPr>
          <w:rFonts w:cs="Calibri"/>
        </w:rPr>
        <w:t xml:space="preserve">Congestion is already a problem for the High Road, with vehicles casually parking outside </w:t>
      </w:r>
      <w:proofErr w:type="spellStart"/>
      <w:r w:rsidRPr="0047011D">
        <w:rPr>
          <w:rFonts w:cs="Calibri"/>
        </w:rPr>
        <w:t>McColls</w:t>
      </w:r>
      <w:proofErr w:type="spellEnd"/>
      <w:r w:rsidRPr="0047011D">
        <w:rPr>
          <w:rFonts w:cs="Calibri"/>
        </w:rPr>
        <w:t xml:space="preserve"> convenience store and Post Office, the only convenience store for </w:t>
      </w:r>
      <w:proofErr w:type="spellStart"/>
      <w:r w:rsidRPr="0047011D">
        <w:rPr>
          <w:rFonts w:cs="Calibri"/>
        </w:rPr>
        <w:t>approx</w:t>
      </w:r>
      <w:proofErr w:type="spellEnd"/>
      <w:r w:rsidRPr="0047011D">
        <w:rPr>
          <w:rFonts w:cs="Calibri"/>
        </w:rPr>
        <w:t xml:space="preserve"> 1.5 miles. The store is </w:t>
      </w:r>
      <w:proofErr w:type="spellStart"/>
      <w:r w:rsidRPr="0047011D">
        <w:rPr>
          <w:rFonts w:cs="Calibri"/>
        </w:rPr>
        <w:t>approx</w:t>
      </w:r>
      <w:proofErr w:type="spellEnd"/>
      <w:r w:rsidRPr="0047011D">
        <w:rPr>
          <w:rFonts w:cs="Calibri"/>
        </w:rPr>
        <w:t xml:space="preserve"> 300m from the roundabout at the junction with Howlett Way. </w:t>
      </w:r>
    </w:p>
    <w:p w14:paraId="0904E454" w14:textId="77777777" w:rsidR="0073290F" w:rsidRDefault="0073290F" w:rsidP="0073290F">
      <w:pPr>
        <w:ind w:left="927"/>
        <w:contextualSpacing/>
        <w:jc w:val="both"/>
        <w:rPr>
          <w:rFonts w:cs="Calibri"/>
        </w:rPr>
      </w:pPr>
    </w:p>
    <w:p w14:paraId="1BB82BEE" w14:textId="77777777" w:rsidR="0073290F" w:rsidRDefault="0073290F" w:rsidP="0073290F">
      <w:pPr>
        <w:numPr>
          <w:ilvl w:val="0"/>
          <w:numId w:val="1"/>
        </w:numPr>
        <w:contextualSpacing/>
        <w:jc w:val="both"/>
        <w:rPr>
          <w:rFonts w:cs="Calibri"/>
        </w:rPr>
      </w:pPr>
      <w:proofErr w:type="gramStart"/>
      <w:r>
        <w:rPr>
          <w:rFonts w:cs="Calibri"/>
        </w:rPr>
        <w:t>Local residents</w:t>
      </w:r>
      <w:proofErr w:type="gramEnd"/>
      <w:r>
        <w:rPr>
          <w:rFonts w:cs="Calibri"/>
        </w:rPr>
        <w:t xml:space="preserve"> emerging from nearby side streets already experience difficulties entering the High Road and particularly emerging from Church Lane where it can be difficult to see properly due to parked vehicles and HGVs delivering to the store</w:t>
      </w:r>
    </w:p>
    <w:p w14:paraId="037A12E5" w14:textId="77777777" w:rsidR="0073290F" w:rsidRDefault="0073290F" w:rsidP="0073290F">
      <w:pPr>
        <w:ind w:left="927"/>
        <w:contextualSpacing/>
        <w:jc w:val="both"/>
        <w:rPr>
          <w:rFonts w:cs="Calibri"/>
        </w:rPr>
      </w:pPr>
    </w:p>
    <w:p w14:paraId="7D338EF7" w14:textId="77777777" w:rsidR="0073290F" w:rsidRPr="00891DC8" w:rsidRDefault="0073290F" w:rsidP="0073290F">
      <w:pPr>
        <w:numPr>
          <w:ilvl w:val="0"/>
          <w:numId w:val="1"/>
        </w:numPr>
        <w:contextualSpacing/>
        <w:jc w:val="both"/>
        <w:rPr>
          <w:rFonts w:cs="Calibri"/>
        </w:rPr>
      </w:pPr>
      <w:r>
        <w:rPr>
          <w:rFonts w:cs="Calibri"/>
        </w:rPr>
        <w:t>S</w:t>
      </w:r>
      <w:r w:rsidRPr="00891DC8">
        <w:rPr>
          <w:rFonts w:cs="Calibri"/>
        </w:rPr>
        <w:t xml:space="preserve">urveys currently indicate approximately 1000 vehicle movements an hour at peak times on the High Road in this area), and when vehicles arising from the proposed housing developments at Howlett Way and Reeve Lodge are </w:t>
      </w:r>
      <w:proofErr w:type="gramStart"/>
      <w:r w:rsidRPr="00891DC8">
        <w:rPr>
          <w:rFonts w:cs="Calibri"/>
        </w:rPr>
        <w:t>taken into account</w:t>
      </w:r>
      <w:proofErr w:type="gramEnd"/>
      <w:r w:rsidRPr="00891DC8">
        <w:rPr>
          <w:rFonts w:cs="Calibri"/>
        </w:rPr>
        <w:t xml:space="preserve"> the general traffic situation will be exacerbated and significantly increase safety risks to pedestrians.</w:t>
      </w:r>
    </w:p>
    <w:p w14:paraId="3E008747" w14:textId="77777777" w:rsidR="0073290F" w:rsidRPr="0004754D" w:rsidRDefault="0073290F" w:rsidP="0073290F">
      <w:pPr>
        <w:ind w:left="720"/>
        <w:contextualSpacing/>
        <w:jc w:val="both"/>
        <w:rPr>
          <w:rFonts w:cs="Calibri"/>
        </w:rPr>
      </w:pPr>
    </w:p>
    <w:p w14:paraId="355277D9" w14:textId="77777777" w:rsidR="0073290F" w:rsidRDefault="0073290F" w:rsidP="0073290F">
      <w:pPr>
        <w:numPr>
          <w:ilvl w:val="0"/>
          <w:numId w:val="1"/>
        </w:numPr>
        <w:contextualSpacing/>
        <w:jc w:val="both"/>
        <w:rPr>
          <w:rFonts w:cs="Calibri"/>
        </w:rPr>
      </w:pPr>
      <w:r w:rsidRPr="0004754D">
        <w:rPr>
          <w:rFonts w:cs="Calibri"/>
        </w:rPr>
        <w:t xml:space="preserve">HGV traffic issues </w:t>
      </w:r>
      <w:r>
        <w:rPr>
          <w:rFonts w:cs="Calibri"/>
        </w:rPr>
        <w:t xml:space="preserve">can also arise following a serious incident on the A14 leading to HGVs negotiating the High Road. The likelihood of that increasing will rise sharply should the </w:t>
      </w:r>
      <w:r w:rsidRPr="0004754D">
        <w:rPr>
          <w:rFonts w:cs="Calibri"/>
        </w:rPr>
        <w:t xml:space="preserve">Innocence Farm </w:t>
      </w:r>
      <w:r>
        <w:rPr>
          <w:rFonts w:cs="Calibri"/>
        </w:rPr>
        <w:t xml:space="preserve">proposal (SCLP 12.35) with the anticipated </w:t>
      </w:r>
      <w:r w:rsidRPr="0004754D">
        <w:rPr>
          <w:rFonts w:cs="Calibri"/>
        </w:rPr>
        <w:t xml:space="preserve">3200 daily </w:t>
      </w:r>
      <w:r>
        <w:rPr>
          <w:rFonts w:cs="Calibri"/>
        </w:rPr>
        <w:t xml:space="preserve">HGV </w:t>
      </w:r>
      <w:r w:rsidRPr="0004754D">
        <w:rPr>
          <w:rFonts w:cs="Calibri"/>
        </w:rPr>
        <w:t xml:space="preserve">movements </w:t>
      </w:r>
      <w:r>
        <w:rPr>
          <w:rFonts w:cs="Calibri"/>
        </w:rPr>
        <w:t xml:space="preserve">and </w:t>
      </w:r>
      <w:r w:rsidRPr="0004754D">
        <w:rPr>
          <w:rFonts w:cs="Calibri"/>
        </w:rPr>
        <w:t xml:space="preserve">600 cars. The whole traffic situation will significantly worsen following </w:t>
      </w:r>
      <w:r>
        <w:rPr>
          <w:rFonts w:cs="Calibri"/>
        </w:rPr>
        <w:t xml:space="preserve">unforeseen </w:t>
      </w:r>
      <w:r w:rsidRPr="0004754D">
        <w:rPr>
          <w:rFonts w:cs="Calibri"/>
        </w:rPr>
        <w:t>closure</w:t>
      </w:r>
      <w:r>
        <w:rPr>
          <w:rFonts w:cs="Calibri"/>
        </w:rPr>
        <w:t>s</w:t>
      </w:r>
      <w:r w:rsidRPr="0004754D">
        <w:rPr>
          <w:rFonts w:cs="Calibri"/>
        </w:rPr>
        <w:t xml:space="preserve"> of the Orwell Bridge</w:t>
      </w:r>
      <w:r>
        <w:rPr>
          <w:rFonts w:cs="Calibri"/>
        </w:rPr>
        <w:t>. A separate submission has been submitted in respect of SCLP 12.35.</w:t>
      </w:r>
    </w:p>
    <w:p w14:paraId="37CC9D7E" w14:textId="77777777" w:rsidR="0073290F" w:rsidRDefault="0073290F" w:rsidP="0073290F">
      <w:pPr>
        <w:pStyle w:val="NormalWeb"/>
        <w:numPr>
          <w:ilvl w:val="0"/>
          <w:numId w:val="1"/>
        </w:numPr>
        <w:contextualSpacing/>
        <w:jc w:val="both"/>
        <w:rPr>
          <w:rFonts w:ascii="Calibri" w:hAnsi="Calibri" w:cs="Calibri"/>
          <w:sz w:val="22"/>
          <w:szCs w:val="22"/>
        </w:rPr>
      </w:pPr>
      <w:r>
        <w:rPr>
          <w:rFonts w:ascii="Calibri" w:hAnsi="Calibri" w:cs="Calibri"/>
          <w:sz w:val="22"/>
          <w:szCs w:val="22"/>
        </w:rPr>
        <w:t xml:space="preserve">A Space to Park Report was produced by Urbanism Environment &amp; Design (URBED) as part of the ‘Space to Park’ research project involving collaboration between URBED, Edinburgh </w:t>
      </w:r>
      <w:r>
        <w:rPr>
          <w:rFonts w:ascii="Calibri" w:hAnsi="Calibri" w:cs="Calibri"/>
          <w:sz w:val="22"/>
          <w:szCs w:val="22"/>
        </w:rPr>
        <w:lastRenderedPageBreak/>
        <w:t xml:space="preserve">University and Kent County Council. A survey of new occupants in respect of vehicle ownership residing in excess of 400 new housing schemes across Kent over a 5yr time period determined </w:t>
      </w:r>
      <w:r w:rsidRPr="0004754D">
        <w:rPr>
          <w:rFonts w:ascii="Calibri" w:hAnsi="Calibri" w:cs="Calibri"/>
          <w:sz w:val="22"/>
          <w:szCs w:val="22"/>
        </w:rPr>
        <w:t>a figure of 1.47 vehicles per household.</w:t>
      </w:r>
      <w:r>
        <w:rPr>
          <w:rFonts w:ascii="Calibri" w:hAnsi="Calibri" w:cs="Calibri"/>
          <w:sz w:val="22"/>
          <w:szCs w:val="22"/>
        </w:rPr>
        <w:t xml:space="preserve"> It is possible this figure may have increased during the intervening years.</w:t>
      </w:r>
    </w:p>
    <w:p w14:paraId="3FC2C690" w14:textId="77777777" w:rsidR="0073290F" w:rsidRDefault="0073290F" w:rsidP="0073290F">
      <w:pPr>
        <w:pStyle w:val="NormalWeb"/>
        <w:ind w:left="720"/>
        <w:contextualSpacing/>
        <w:jc w:val="both"/>
        <w:rPr>
          <w:rFonts w:ascii="Calibri" w:hAnsi="Calibri" w:cs="Calibri"/>
          <w:sz w:val="22"/>
          <w:szCs w:val="22"/>
        </w:rPr>
      </w:pPr>
      <w:r w:rsidRPr="0004754D">
        <w:rPr>
          <w:rFonts w:ascii="Calibri" w:hAnsi="Calibri" w:cs="Calibri"/>
          <w:sz w:val="22"/>
          <w:szCs w:val="22"/>
        </w:rPr>
        <w:t xml:space="preserve"> </w:t>
      </w:r>
    </w:p>
    <w:p w14:paraId="2E484959" w14:textId="77777777" w:rsidR="0073290F" w:rsidRDefault="0073290F" w:rsidP="0073290F">
      <w:pPr>
        <w:spacing w:after="0" w:line="240" w:lineRule="auto"/>
        <w:rPr>
          <w:rFonts w:cs="Calibri"/>
          <w:color w:val="000000"/>
          <w:lang w:eastAsia="en-GB"/>
        </w:rPr>
      </w:pPr>
      <w:r>
        <w:rPr>
          <w:rFonts w:cs="Calibri"/>
        </w:rPr>
        <w:br w:type="page"/>
      </w:r>
    </w:p>
    <w:p w14:paraId="2632964D" w14:textId="77777777" w:rsidR="0073290F" w:rsidRDefault="0073290F" w:rsidP="0073290F">
      <w:pPr>
        <w:pStyle w:val="NormalWeb"/>
        <w:ind w:left="720"/>
        <w:contextualSpacing/>
        <w:jc w:val="both"/>
        <w:rPr>
          <w:rFonts w:ascii="Calibri" w:hAnsi="Calibri" w:cs="Calibri"/>
          <w:sz w:val="22"/>
          <w:szCs w:val="22"/>
        </w:rPr>
      </w:pPr>
    </w:p>
    <w:p w14:paraId="7DBCDFEF" w14:textId="77777777" w:rsidR="0073290F" w:rsidRDefault="0073290F" w:rsidP="0073290F">
      <w:pPr>
        <w:pStyle w:val="NormalWeb"/>
        <w:numPr>
          <w:ilvl w:val="0"/>
          <w:numId w:val="1"/>
        </w:numPr>
        <w:contextualSpacing/>
        <w:jc w:val="both"/>
        <w:rPr>
          <w:rFonts w:ascii="Calibri" w:hAnsi="Calibri" w:cs="Calibri"/>
          <w:sz w:val="22"/>
          <w:szCs w:val="22"/>
        </w:rPr>
      </w:pPr>
      <w:r w:rsidRPr="0004754D">
        <w:rPr>
          <w:rFonts w:ascii="Calibri" w:hAnsi="Calibri" w:cs="Calibri"/>
          <w:sz w:val="22"/>
          <w:szCs w:val="22"/>
        </w:rPr>
        <w:t xml:space="preserve">Applying this figure against existing </w:t>
      </w:r>
      <w:r>
        <w:rPr>
          <w:rFonts w:ascii="Calibri" w:hAnsi="Calibri" w:cs="Calibri"/>
          <w:sz w:val="22"/>
          <w:szCs w:val="22"/>
        </w:rPr>
        <w:t xml:space="preserve">new </w:t>
      </w:r>
      <w:r w:rsidRPr="0004754D">
        <w:rPr>
          <w:rFonts w:ascii="Calibri" w:hAnsi="Calibri" w:cs="Calibri"/>
          <w:sz w:val="22"/>
          <w:szCs w:val="22"/>
        </w:rPr>
        <w:t>and proposed Trimley developments will realise an approximate additional 1100 vehicles in the two villages</w:t>
      </w:r>
      <w:r>
        <w:rPr>
          <w:rFonts w:ascii="Calibri" w:hAnsi="Calibri" w:cs="Calibri"/>
          <w:sz w:val="22"/>
          <w:szCs w:val="22"/>
        </w:rPr>
        <w:t xml:space="preserve"> thus increasing congestion at the pinch point</w:t>
      </w:r>
      <w:r w:rsidRPr="0004754D">
        <w:rPr>
          <w:rFonts w:ascii="Calibri" w:hAnsi="Calibri" w:cs="Calibri"/>
          <w:sz w:val="22"/>
          <w:szCs w:val="22"/>
        </w:rPr>
        <w:t>. Th</w:t>
      </w:r>
      <w:r>
        <w:rPr>
          <w:rFonts w:ascii="Calibri" w:hAnsi="Calibri" w:cs="Calibri"/>
          <w:sz w:val="22"/>
          <w:szCs w:val="22"/>
        </w:rPr>
        <w:t xml:space="preserve">e significant increase in traffic within the </w:t>
      </w:r>
      <w:proofErr w:type="spellStart"/>
      <w:r>
        <w:rPr>
          <w:rFonts w:ascii="Calibri" w:hAnsi="Calibri" w:cs="Calibri"/>
          <w:sz w:val="22"/>
          <w:szCs w:val="22"/>
        </w:rPr>
        <w:t>Trimleys</w:t>
      </w:r>
      <w:proofErr w:type="spellEnd"/>
      <w:r>
        <w:rPr>
          <w:rFonts w:ascii="Calibri" w:hAnsi="Calibri" w:cs="Calibri"/>
          <w:sz w:val="22"/>
          <w:szCs w:val="22"/>
        </w:rPr>
        <w:t xml:space="preserve"> </w:t>
      </w:r>
      <w:r w:rsidRPr="0004754D">
        <w:rPr>
          <w:rFonts w:ascii="Calibri" w:hAnsi="Calibri" w:cs="Calibri"/>
          <w:sz w:val="22"/>
          <w:szCs w:val="22"/>
        </w:rPr>
        <w:t xml:space="preserve">has not been acknowledged in </w:t>
      </w:r>
      <w:r>
        <w:rPr>
          <w:rFonts w:ascii="Calibri" w:hAnsi="Calibri" w:cs="Calibri"/>
          <w:sz w:val="22"/>
          <w:szCs w:val="22"/>
        </w:rPr>
        <w:t xml:space="preserve">The </w:t>
      </w:r>
      <w:r w:rsidRPr="0004754D">
        <w:rPr>
          <w:rFonts w:ascii="Calibri" w:hAnsi="Calibri" w:cs="Calibri"/>
          <w:sz w:val="22"/>
          <w:szCs w:val="22"/>
        </w:rPr>
        <w:t>Plan</w:t>
      </w:r>
    </w:p>
    <w:p w14:paraId="51E7DD77" w14:textId="77777777" w:rsidR="0073290F" w:rsidRPr="0004754D" w:rsidRDefault="0073290F" w:rsidP="0073290F">
      <w:pPr>
        <w:pStyle w:val="NormalWeb"/>
        <w:ind w:left="720"/>
        <w:contextualSpacing/>
        <w:jc w:val="both"/>
        <w:rPr>
          <w:rFonts w:ascii="Calibri" w:hAnsi="Calibri" w:cs="Calibri"/>
          <w:sz w:val="22"/>
          <w:szCs w:val="22"/>
        </w:rPr>
      </w:pPr>
    </w:p>
    <w:p w14:paraId="472811FF" w14:textId="77777777" w:rsidR="0073290F" w:rsidRPr="002213B3" w:rsidRDefault="0073290F" w:rsidP="0073290F">
      <w:pPr>
        <w:pStyle w:val="NormalWeb"/>
        <w:numPr>
          <w:ilvl w:val="0"/>
          <w:numId w:val="1"/>
        </w:numPr>
        <w:contextualSpacing/>
        <w:jc w:val="both"/>
        <w:rPr>
          <w:rFonts w:cs="Calibri"/>
        </w:rPr>
      </w:pPr>
      <w:r w:rsidRPr="002213B3">
        <w:rPr>
          <w:rFonts w:ascii="Calibri" w:hAnsi="Calibri" w:cs="Calibri"/>
          <w:sz w:val="22"/>
          <w:szCs w:val="22"/>
        </w:rPr>
        <w:t>When the 1.47 figure is applied to existing new and proposed dwellings across the Peninsula (</w:t>
      </w:r>
      <w:proofErr w:type="spellStart"/>
      <w:r w:rsidRPr="002213B3">
        <w:rPr>
          <w:rFonts w:ascii="Calibri" w:hAnsi="Calibri" w:cs="Calibri"/>
          <w:sz w:val="22"/>
          <w:szCs w:val="22"/>
        </w:rPr>
        <w:t>approx</w:t>
      </w:r>
      <w:proofErr w:type="spellEnd"/>
      <w:r w:rsidRPr="002213B3">
        <w:rPr>
          <w:rFonts w:ascii="Calibri" w:hAnsi="Calibri" w:cs="Calibri"/>
          <w:sz w:val="22"/>
          <w:szCs w:val="22"/>
        </w:rPr>
        <w:t xml:space="preserve"> 3800 dwellings) approximately 5,500 additional vehicles shall need to be accommodated.   This will clearly impact upon existing parking facilities, especially during inclement weather and affect tourism during the summer – nowhere to park and existing pinch points. Every new house generates an average of five traffic movements per week day.  </w:t>
      </w:r>
    </w:p>
    <w:p w14:paraId="67472F76" w14:textId="77777777" w:rsidR="0073290F" w:rsidRDefault="0073290F" w:rsidP="0073290F">
      <w:pPr>
        <w:pStyle w:val="NormalWeb"/>
        <w:ind w:left="720"/>
        <w:contextualSpacing/>
        <w:jc w:val="both"/>
        <w:rPr>
          <w:rFonts w:ascii="Calibri" w:hAnsi="Calibri" w:cs="Calibri"/>
          <w:sz w:val="22"/>
          <w:szCs w:val="22"/>
        </w:rPr>
      </w:pPr>
    </w:p>
    <w:p w14:paraId="30F4BB2D" w14:textId="77777777" w:rsidR="0073290F" w:rsidRPr="00F8607E" w:rsidRDefault="0073290F" w:rsidP="0073290F">
      <w:pPr>
        <w:pStyle w:val="NormalWeb"/>
        <w:numPr>
          <w:ilvl w:val="0"/>
          <w:numId w:val="1"/>
        </w:numPr>
        <w:contextualSpacing/>
        <w:jc w:val="both"/>
        <w:rPr>
          <w:rFonts w:ascii="Calibri" w:hAnsi="Calibri" w:cs="Calibri"/>
          <w:sz w:val="22"/>
          <w:szCs w:val="22"/>
        </w:rPr>
      </w:pPr>
      <w:r w:rsidRPr="00F8607E">
        <w:rPr>
          <w:rFonts w:ascii="Calibri" w:hAnsi="Calibri" w:cs="Calibri"/>
          <w:sz w:val="22"/>
          <w:szCs w:val="22"/>
        </w:rPr>
        <w:t xml:space="preserve">It should also be considered that many local drivers with children on board and for safety reasons </w:t>
      </w:r>
      <w:r>
        <w:rPr>
          <w:rFonts w:ascii="Calibri" w:hAnsi="Calibri" w:cs="Calibri"/>
          <w:sz w:val="22"/>
          <w:szCs w:val="22"/>
        </w:rPr>
        <w:t>may</w:t>
      </w:r>
      <w:r w:rsidRPr="00F8607E">
        <w:rPr>
          <w:rFonts w:ascii="Calibri" w:hAnsi="Calibri" w:cs="Calibri"/>
          <w:sz w:val="22"/>
          <w:szCs w:val="22"/>
        </w:rPr>
        <w:t xml:space="preserve"> be more likely to travel the High Road into Felixstowe rather than the A14. </w:t>
      </w:r>
    </w:p>
    <w:p w14:paraId="37BD8A1C" w14:textId="77777777" w:rsidR="0073290F" w:rsidRDefault="0073290F" w:rsidP="0073290F">
      <w:pPr>
        <w:pStyle w:val="NormalWeb"/>
        <w:ind w:left="720"/>
        <w:contextualSpacing/>
        <w:jc w:val="both"/>
        <w:rPr>
          <w:rFonts w:ascii="Calibri" w:hAnsi="Calibri" w:cs="Calibri"/>
          <w:sz w:val="22"/>
          <w:szCs w:val="22"/>
        </w:rPr>
      </w:pPr>
    </w:p>
    <w:p w14:paraId="7D682910" w14:textId="77777777" w:rsidR="0073290F" w:rsidRPr="004A37D7" w:rsidRDefault="0073290F" w:rsidP="0073290F">
      <w:pPr>
        <w:pStyle w:val="NormalWeb"/>
        <w:numPr>
          <w:ilvl w:val="0"/>
          <w:numId w:val="1"/>
        </w:numPr>
        <w:contextualSpacing/>
        <w:jc w:val="both"/>
        <w:rPr>
          <w:rFonts w:ascii="Calibri" w:hAnsi="Calibri" w:cs="Calibri"/>
          <w:sz w:val="22"/>
          <w:szCs w:val="22"/>
        </w:rPr>
      </w:pPr>
      <w:r w:rsidRPr="00934594">
        <w:rPr>
          <w:rFonts w:ascii="Calibri" w:hAnsi="Calibri" w:cs="Calibri"/>
          <w:sz w:val="22"/>
          <w:szCs w:val="22"/>
        </w:rPr>
        <w:t>To th</w:t>
      </w:r>
      <w:r>
        <w:rPr>
          <w:rFonts w:ascii="Calibri" w:hAnsi="Calibri" w:cs="Calibri"/>
          <w:sz w:val="22"/>
          <w:szCs w:val="22"/>
        </w:rPr>
        <w:t xml:space="preserve">e 5,500 </w:t>
      </w:r>
      <w:proofErr w:type="gramStart"/>
      <w:r w:rsidRPr="00934594">
        <w:rPr>
          <w:rFonts w:ascii="Calibri" w:hAnsi="Calibri" w:cs="Calibri"/>
          <w:sz w:val="22"/>
          <w:szCs w:val="22"/>
        </w:rPr>
        <w:t>figure</w:t>
      </w:r>
      <w:proofErr w:type="gramEnd"/>
      <w:r w:rsidRPr="00934594">
        <w:rPr>
          <w:rFonts w:ascii="Calibri" w:hAnsi="Calibri" w:cs="Calibri"/>
          <w:sz w:val="22"/>
          <w:szCs w:val="22"/>
        </w:rPr>
        <w:t xml:space="preserve"> must be added the 3,200 HGV and 600 other vehicle movements anticipated at Innocence Farm, all adding to an already congested A14. </w:t>
      </w:r>
    </w:p>
    <w:p w14:paraId="1FFC434D" w14:textId="77777777" w:rsidR="0073290F" w:rsidRDefault="0073290F" w:rsidP="0073290F">
      <w:pPr>
        <w:pStyle w:val="NormalWeb"/>
        <w:ind w:left="927"/>
        <w:contextualSpacing/>
        <w:jc w:val="both"/>
        <w:rPr>
          <w:rFonts w:ascii="Calibri" w:hAnsi="Calibri" w:cs="Calibri"/>
          <w:sz w:val="22"/>
          <w:szCs w:val="22"/>
        </w:rPr>
      </w:pPr>
    </w:p>
    <w:p w14:paraId="2BAE9772" w14:textId="77777777" w:rsidR="0073290F" w:rsidRPr="004A37D7" w:rsidRDefault="0073290F" w:rsidP="0073290F">
      <w:pPr>
        <w:pStyle w:val="NormalWeb"/>
        <w:numPr>
          <w:ilvl w:val="0"/>
          <w:numId w:val="1"/>
        </w:numPr>
        <w:ind w:hanging="501"/>
        <w:contextualSpacing/>
        <w:jc w:val="both"/>
        <w:rPr>
          <w:rFonts w:ascii="Calibri" w:hAnsi="Calibri" w:cs="Calibri"/>
          <w:sz w:val="22"/>
          <w:szCs w:val="22"/>
        </w:rPr>
      </w:pPr>
      <w:r w:rsidRPr="004A37D7">
        <w:rPr>
          <w:rFonts w:ascii="Calibri" w:hAnsi="Calibri" w:cs="Calibri"/>
          <w:sz w:val="22"/>
          <w:szCs w:val="22"/>
        </w:rPr>
        <w:t>The significant increase in vehicular movements give rise to wider traffic implications affecting parking, car parks and pinch points for example. The Plan has failed to acknowledge the impact at a more local level within Felixstowe and its environs and identifying appropriate mitigation solutions therefore it has not been properly prepared and is unsound.</w:t>
      </w:r>
    </w:p>
    <w:p w14:paraId="63F4CC46" w14:textId="77777777" w:rsidR="0073290F" w:rsidRPr="0004754D" w:rsidRDefault="0073290F" w:rsidP="0073290F">
      <w:pPr>
        <w:pStyle w:val="NormalWeb"/>
        <w:ind w:left="1440"/>
        <w:contextualSpacing/>
        <w:jc w:val="both"/>
        <w:rPr>
          <w:rFonts w:ascii="Calibri" w:hAnsi="Calibri" w:cs="Calibri"/>
          <w:b/>
          <w:bCs/>
          <w:sz w:val="22"/>
          <w:szCs w:val="22"/>
        </w:rPr>
      </w:pPr>
    </w:p>
    <w:p w14:paraId="414D8DCB" w14:textId="77777777" w:rsidR="0073290F" w:rsidRPr="0004754D" w:rsidRDefault="0073290F" w:rsidP="0073290F">
      <w:pPr>
        <w:pStyle w:val="NormalWeb"/>
        <w:ind w:firstLine="426"/>
        <w:contextualSpacing/>
        <w:jc w:val="both"/>
        <w:rPr>
          <w:rFonts w:ascii="Calibri" w:hAnsi="Calibri" w:cs="Calibri"/>
          <w:b/>
          <w:sz w:val="22"/>
          <w:szCs w:val="22"/>
        </w:rPr>
      </w:pPr>
      <w:r w:rsidRPr="0004754D">
        <w:rPr>
          <w:rFonts w:ascii="Calibri" w:hAnsi="Calibri" w:cs="Calibri"/>
          <w:b/>
          <w:bCs/>
          <w:sz w:val="22"/>
          <w:szCs w:val="22"/>
        </w:rPr>
        <w:t xml:space="preserve">Environmental Impacts </w:t>
      </w:r>
    </w:p>
    <w:p w14:paraId="574581F5" w14:textId="77777777" w:rsidR="0073290F" w:rsidRPr="0004754D" w:rsidRDefault="0073290F" w:rsidP="0073290F">
      <w:pPr>
        <w:pStyle w:val="NormalWeb"/>
        <w:ind w:left="851"/>
        <w:contextualSpacing/>
        <w:jc w:val="both"/>
        <w:rPr>
          <w:rFonts w:ascii="Calibri" w:hAnsi="Calibri" w:cs="Calibri"/>
          <w:sz w:val="22"/>
          <w:szCs w:val="22"/>
        </w:rPr>
      </w:pPr>
    </w:p>
    <w:p w14:paraId="20976C59" w14:textId="77777777" w:rsidR="0073290F" w:rsidRDefault="0073290F" w:rsidP="0073290F">
      <w:pPr>
        <w:pStyle w:val="NormalWeb"/>
        <w:numPr>
          <w:ilvl w:val="0"/>
          <w:numId w:val="1"/>
        </w:numPr>
        <w:ind w:hanging="501"/>
        <w:contextualSpacing/>
        <w:jc w:val="both"/>
        <w:rPr>
          <w:rFonts w:ascii="Calibri" w:hAnsi="Calibri" w:cs="Calibri"/>
          <w:sz w:val="22"/>
          <w:szCs w:val="22"/>
        </w:rPr>
      </w:pPr>
      <w:r w:rsidRPr="00D54131">
        <w:rPr>
          <w:rFonts w:ascii="Calibri" w:hAnsi="Calibri" w:cs="Calibri"/>
          <w:sz w:val="22"/>
          <w:szCs w:val="22"/>
        </w:rPr>
        <w:t xml:space="preserve">There are published comments from 2003 addressing the need to develop Grade 1 and 2 land by exception, taking proper account of infrastructure issues, protecting agricultural land and wildlife, and preserving the uniqueness of villages. The Natural Environment have sustained life, both human and animal for many centuries. We already know that Pollution, Air, Light and Noise, affects humans and devastates animal habitats. Mindful of these studies, it is contended The Plan fails to properly consider the health implications of its proposals, especially the impact of Innocence Farm. </w:t>
      </w:r>
    </w:p>
    <w:p w14:paraId="6C244BBA" w14:textId="77777777" w:rsidR="0073290F" w:rsidRPr="0004754D" w:rsidRDefault="0073290F" w:rsidP="0073290F">
      <w:pPr>
        <w:pStyle w:val="NormalWeb"/>
        <w:ind w:left="851"/>
        <w:contextualSpacing/>
        <w:jc w:val="both"/>
        <w:rPr>
          <w:rFonts w:ascii="Calibri" w:hAnsi="Calibri" w:cs="Calibri"/>
          <w:sz w:val="22"/>
          <w:szCs w:val="22"/>
        </w:rPr>
      </w:pPr>
    </w:p>
    <w:p w14:paraId="4779FDA7" w14:textId="77777777" w:rsidR="0073290F" w:rsidRPr="0004754D" w:rsidRDefault="0073290F" w:rsidP="0073290F">
      <w:pPr>
        <w:pStyle w:val="NormalWeb"/>
        <w:numPr>
          <w:ilvl w:val="0"/>
          <w:numId w:val="1"/>
        </w:numPr>
        <w:ind w:left="851" w:hanging="425"/>
        <w:contextualSpacing/>
        <w:jc w:val="both"/>
        <w:rPr>
          <w:rFonts w:ascii="Calibri" w:hAnsi="Calibri" w:cs="Calibri"/>
          <w:sz w:val="22"/>
          <w:szCs w:val="22"/>
        </w:rPr>
      </w:pPr>
      <w:r>
        <w:rPr>
          <w:rFonts w:ascii="Calibri" w:hAnsi="Calibri" w:cs="Calibri"/>
          <w:sz w:val="22"/>
          <w:szCs w:val="22"/>
        </w:rPr>
        <w:t xml:space="preserve">  </w:t>
      </w:r>
      <w:r w:rsidRPr="0004754D">
        <w:rPr>
          <w:rFonts w:ascii="Calibri" w:hAnsi="Calibri" w:cs="Calibri"/>
          <w:sz w:val="22"/>
          <w:szCs w:val="22"/>
        </w:rPr>
        <w:t>Michael Gove, the Environment Secretary, said recently we should use valuable farmland to grow more food, particularly as we face post-Brexit. He urged us to make the most of our reserves. Fertile land is disappearing, swamped under development. We cannot continue to rely on food imports.</w:t>
      </w:r>
    </w:p>
    <w:p w14:paraId="2E04DCD7" w14:textId="77777777" w:rsidR="0073290F" w:rsidRPr="0004754D" w:rsidRDefault="0073290F" w:rsidP="0073290F">
      <w:pPr>
        <w:pStyle w:val="NormalWeb"/>
        <w:ind w:left="851"/>
        <w:contextualSpacing/>
        <w:jc w:val="both"/>
        <w:rPr>
          <w:rFonts w:ascii="Calibri" w:hAnsi="Calibri" w:cs="Calibri"/>
          <w:sz w:val="22"/>
          <w:szCs w:val="22"/>
        </w:rPr>
      </w:pPr>
    </w:p>
    <w:p w14:paraId="0B98F089" w14:textId="77777777" w:rsidR="0073290F" w:rsidRPr="0004754D" w:rsidRDefault="0073290F" w:rsidP="0073290F">
      <w:pPr>
        <w:pStyle w:val="NormalWeb"/>
        <w:numPr>
          <w:ilvl w:val="0"/>
          <w:numId w:val="1"/>
        </w:numPr>
        <w:ind w:left="851" w:hanging="425"/>
        <w:contextualSpacing/>
        <w:jc w:val="both"/>
        <w:rPr>
          <w:rFonts w:ascii="Calibri" w:hAnsi="Calibri" w:cs="Calibri"/>
          <w:sz w:val="22"/>
          <w:szCs w:val="22"/>
        </w:rPr>
      </w:pPr>
      <w:r>
        <w:rPr>
          <w:rFonts w:ascii="Calibri" w:hAnsi="Calibri" w:cs="Calibri"/>
          <w:sz w:val="22"/>
          <w:szCs w:val="22"/>
        </w:rPr>
        <w:t xml:space="preserve">  </w:t>
      </w:r>
      <w:r w:rsidRPr="0004754D">
        <w:rPr>
          <w:rFonts w:ascii="Calibri" w:hAnsi="Calibri" w:cs="Calibri"/>
          <w:sz w:val="22"/>
          <w:szCs w:val="22"/>
        </w:rPr>
        <w:t>Once farmland is covered in concrete, it is already too late to reverse the situation</w:t>
      </w:r>
      <w:r>
        <w:rPr>
          <w:rFonts w:ascii="Calibri" w:hAnsi="Calibri" w:cs="Calibri"/>
          <w:sz w:val="22"/>
          <w:szCs w:val="22"/>
        </w:rPr>
        <w:t xml:space="preserve"> </w:t>
      </w:r>
      <w:r w:rsidRPr="0004754D">
        <w:rPr>
          <w:rFonts w:ascii="Calibri" w:hAnsi="Calibri" w:cs="Calibri"/>
          <w:sz w:val="22"/>
          <w:szCs w:val="22"/>
        </w:rPr>
        <w:t>and lives will change forever; the land and its</w:t>
      </w:r>
      <w:r>
        <w:rPr>
          <w:rFonts w:ascii="Calibri" w:hAnsi="Calibri" w:cs="Calibri"/>
          <w:sz w:val="22"/>
          <w:szCs w:val="22"/>
        </w:rPr>
        <w:t xml:space="preserve"> wildl</w:t>
      </w:r>
      <w:r w:rsidRPr="0004754D">
        <w:rPr>
          <w:rFonts w:ascii="Calibri" w:hAnsi="Calibri" w:cs="Calibri"/>
          <w:sz w:val="22"/>
          <w:szCs w:val="22"/>
        </w:rPr>
        <w:t>ife</w:t>
      </w:r>
      <w:r>
        <w:rPr>
          <w:rFonts w:ascii="Calibri" w:hAnsi="Calibri" w:cs="Calibri"/>
          <w:sz w:val="22"/>
          <w:szCs w:val="22"/>
        </w:rPr>
        <w:t xml:space="preserve"> </w:t>
      </w:r>
      <w:r w:rsidRPr="0004754D">
        <w:rPr>
          <w:rFonts w:ascii="Calibri" w:hAnsi="Calibri" w:cs="Calibri"/>
          <w:sz w:val="22"/>
          <w:szCs w:val="22"/>
        </w:rPr>
        <w:t>will be lost forever.</w:t>
      </w:r>
      <w:r>
        <w:rPr>
          <w:rFonts w:ascii="Calibri" w:hAnsi="Calibri" w:cs="Calibri"/>
          <w:sz w:val="22"/>
          <w:szCs w:val="22"/>
        </w:rPr>
        <w:t xml:space="preserve"> </w:t>
      </w:r>
      <w:r w:rsidRPr="0004754D">
        <w:rPr>
          <w:rFonts w:ascii="Calibri" w:hAnsi="Calibri" w:cs="Calibri"/>
          <w:sz w:val="22"/>
          <w:szCs w:val="22"/>
        </w:rPr>
        <w:t xml:space="preserve">The Local Plan states that within Material Assets there are </w:t>
      </w:r>
      <w:r w:rsidRPr="0004754D">
        <w:rPr>
          <w:rFonts w:ascii="Calibri" w:hAnsi="Calibri" w:cs="Calibri"/>
          <w:i/>
          <w:iCs/>
          <w:sz w:val="22"/>
          <w:szCs w:val="22"/>
        </w:rPr>
        <w:t>"extensive areas of high-quality agricultural land."</w:t>
      </w:r>
      <w:r w:rsidRPr="0004754D">
        <w:rPr>
          <w:rFonts w:ascii="Calibri" w:hAnsi="Calibri" w:cs="Calibri"/>
          <w:sz w:val="22"/>
          <w:szCs w:val="22"/>
        </w:rPr>
        <w:t xml:space="preserve"> However, it proposes this irreplaceable food-producing farmland should be destroyed in order to build thousands of new houses</w:t>
      </w:r>
      <w:r>
        <w:rPr>
          <w:rFonts w:ascii="Calibri" w:hAnsi="Calibri" w:cs="Calibri"/>
          <w:sz w:val="22"/>
          <w:szCs w:val="22"/>
        </w:rPr>
        <w:t xml:space="preserve"> when they are not necessary</w:t>
      </w:r>
      <w:r w:rsidRPr="0004754D">
        <w:rPr>
          <w:rFonts w:ascii="Calibri" w:hAnsi="Calibri" w:cs="Calibri"/>
          <w:sz w:val="22"/>
          <w:szCs w:val="22"/>
        </w:rPr>
        <w:t>, without stating how food production facilities will be replaced</w:t>
      </w:r>
      <w:r>
        <w:rPr>
          <w:rFonts w:ascii="Calibri" w:hAnsi="Calibri" w:cs="Calibri"/>
          <w:sz w:val="22"/>
          <w:szCs w:val="22"/>
        </w:rPr>
        <w:t>.</w:t>
      </w:r>
    </w:p>
    <w:p w14:paraId="055075BD" w14:textId="77777777" w:rsidR="0073290F" w:rsidRPr="0004754D" w:rsidRDefault="0073290F" w:rsidP="0073290F">
      <w:pPr>
        <w:pStyle w:val="NormalWeb"/>
        <w:ind w:left="851"/>
        <w:contextualSpacing/>
        <w:jc w:val="both"/>
        <w:rPr>
          <w:rFonts w:ascii="Calibri" w:hAnsi="Calibri" w:cs="Calibri"/>
          <w:sz w:val="22"/>
          <w:szCs w:val="22"/>
        </w:rPr>
      </w:pPr>
    </w:p>
    <w:p w14:paraId="7AC18F73" w14:textId="77777777" w:rsidR="0073290F" w:rsidRPr="00D54131" w:rsidRDefault="0073290F" w:rsidP="0073290F">
      <w:pPr>
        <w:pStyle w:val="NormalWeb"/>
        <w:numPr>
          <w:ilvl w:val="0"/>
          <w:numId w:val="1"/>
        </w:numPr>
        <w:ind w:left="851" w:hanging="425"/>
        <w:contextualSpacing/>
        <w:jc w:val="both"/>
        <w:rPr>
          <w:rFonts w:ascii="Calibri" w:hAnsi="Calibri" w:cs="Calibri"/>
          <w:sz w:val="22"/>
          <w:szCs w:val="22"/>
        </w:rPr>
      </w:pPr>
      <w:r>
        <w:rPr>
          <w:rFonts w:ascii="Calibri" w:hAnsi="Calibri" w:cs="Calibri"/>
          <w:sz w:val="22"/>
          <w:szCs w:val="22"/>
        </w:rPr>
        <w:t xml:space="preserve">  </w:t>
      </w:r>
      <w:r w:rsidRPr="00D54131">
        <w:rPr>
          <w:rFonts w:ascii="Calibri" w:hAnsi="Calibri" w:cs="Calibri"/>
          <w:sz w:val="22"/>
          <w:szCs w:val="22"/>
        </w:rPr>
        <w:t>A furthe</w:t>
      </w:r>
      <w:r>
        <w:rPr>
          <w:rFonts w:ascii="Calibri" w:hAnsi="Calibri" w:cs="Calibri"/>
          <w:sz w:val="22"/>
          <w:szCs w:val="22"/>
        </w:rPr>
        <w:t>r soundness issue focu</w:t>
      </w:r>
      <w:r w:rsidRPr="00D54131">
        <w:rPr>
          <w:rFonts w:ascii="Calibri" w:hAnsi="Calibri" w:cs="Calibri"/>
          <w:sz w:val="22"/>
          <w:szCs w:val="22"/>
        </w:rPr>
        <w:t xml:space="preserve">ses on the potential destruction of wildlife and the wide range of wildlife habitats evident within the Trimley Parish.  Much of this will be destroyed if the Plan is approved in its present form. An environment constructed by humans fundamentally changes the countryside and destroys farmland. To quote Sir David </w:t>
      </w:r>
      <w:r w:rsidRPr="00D54131">
        <w:rPr>
          <w:rFonts w:ascii="Calibri" w:hAnsi="Calibri" w:cs="Calibri"/>
          <w:sz w:val="22"/>
          <w:szCs w:val="22"/>
        </w:rPr>
        <w:lastRenderedPageBreak/>
        <w:t xml:space="preserve">Attenborough </w:t>
      </w:r>
      <w:r>
        <w:rPr>
          <w:rFonts w:ascii="Calibri" w:hAnsi="Calibri" w:cs="Calibri"/>
          <w:sz w:val="22"/>
          <w:szCs w:val="22"/>
        </w:rPr>
        <w:t>“</w:t>
      </w:r>
      <w:r w:rsidRPr="00D54131">
        <w:rPr>
          <w:rFonts w:ascii="Calibri" w:hAnsi="Calibri" w:cs="Calibri"/>
          <w:sz w:val="22"/>
          <w:szCs w:val="22"/>
        </w:rPr>
        <w:t>if we continue to interfere this much with the Environme</w:t>
      </w:r>
      <w:r>
        <w:rPr>
          <w:rFonts w:ascii="Calibri" w:hAnsi="Calibri" w:cs="Calibri"/>
          <w:sz w:val="22"/>
          <w:szCs w:val="22"/>
        </w:rPr>
        <w:t>nt we will harm the planet and ourselves and n</w:t>
      </w:r>
      <w:r w:rsidRPr="00D54131">
        <w:rPr>
          <w:rFonts w:ascii="Calibri" w:hAnsi="Calibri" w:cs="Calibri"/>
          <w:sz w:val="22"/>
          <w:szCs w:val="22"/>
        </w:rPr>
        <w:t>ature".</w:t>
      </w:r>
      <w:r>
        <w:rPr>
          <w:rFonts w:ascii="Calibri" w:hAnsi="Calibri" w:cs="Calibri"/>
          <w:sz w:val="22"/>
          <w:szCs w:val="22"/>
        </w:rPr>
        <w:t xml:space="preserve"> We therefore content The Plan has failed to satisfactorily address these issues and is therefore not effective and unsound.</w:t>
      </w:r>
    </w:p>
    <w:p w14:paraId="6EA92D07" w14:textId="77777777" w:rsidR="0073290F" w:rsidRDefault="0073290F" w:rsidP="0073290F">
      <w:pPr>
        <w:pStyle w:val="NormalWeb"/>
        <w:ind w:left="851"/>
        <w:contextualSpacing/>
        <w:jc w:val="both"/>
        <w:rPr>
          <w:rFonts w:ascii="Calibri" w:hAnsi="Calibri" w:cs="Calibri"/>
          <w:sz w:val="22"/>
          <w:szCs w:val="22"/>
        </w:rPr>
      </w:pPr>
    </w:p>
    <w:p w14:paraId="6B31684A" w14:textId="77777777" w:rsidR="0073290F" w:rsidRPr="0004754D" w:rsidRDefault="0073290F" w:rsidP="0073290F">
      <w:pPr>
        <w:pStyle w:val="NormalWeb"/>
        <w:contextualSpacing/>
        <w:jc w:val="both"/>
        <w:rPr>
          <w:rFonts w:ascii="Calibri" w:hAnsi="Calibri" w:cs="Calibri"/>
          <w:sz w:val="22"/>
          <w:szCs w:val="22"/>
        </w:rPr>
      </w:pPr>
    </w:p>
    <w:p w14:paraId="617ADDBC" w14:textId="77777777" w:rsidR="0073290F" w:rsidRPr="0004754D" w:rsidRDefault="0073290F" w:rsidP="0073290F">
      <w:pPr>
        <w:pStyle w:val="NormalWeb"/>
        <w:ind w:left="851"/>
        <w:contextualSpacing/>
        <w:jc w:val="both"/>
        <w:rPr>
          <w:rFonts w:ascii="Calibri" w:hAnsi="Calibri" w:cs="Calibri"/>
          <w:b/>
          <w:sz w:val="22"/>
          <w:szCs w:val="22"/>
        </w:rPr>
      </w:pPr>
      <w:r>
        <w:rPr>
          <w:rFonts w:ascii="Calibri" w:hAnsi="Calibri" w:cs="Calibri"/>
          <w:b/>
          <w:sz w:val="22"/>
          <w:szCs w:val="22"/>
        </w:rPr>
        <w:t>General Points</w:t>
      </w:r>
    </w:p>
    <w:p w14:paraId="41996311" w14:textId="77777777" w:rsidR="0073290F" w:rsidRPr="0004754D" w:rsidRDefault="0073290F" w:rsidP="0073290F">
      <w:pPr>
        <w:pStyle w:val="NormalWeb"/>
        <w:ind w:left="851"/>
        <w:contextualSpacing/>
        <w:jc w:val="both"/>
        <w:rPr>
          <w:rFonts w:ascii="Calibri" w:hAnsi="Calibri" w:cs="Calibri"/>
          <w:sz w:val="22"/>
          <w:szCs w:val="22"/>
        </w:rPr>
      </w:pPr>
    </w:p>
    <w:p w14:paraId="347A60FD" w14:textId="77777777" w:rsidR="0073290F" w:rsidRPr="0004754D" w:rsidRDefault="0073290F" w:rsidP="0073290F">
      <w:pPr>
        <w:pStyle w:val="NormalWeb"/>
        <w:contextualSpacing/>
        <w:jc w:val="both"/>
        <w:rPr>
          <w:rFonts w:ascii="Calibri" w:hAnsi="Calibri" w:cs="Calibri"/>
          <w:sz w:val="22"/>
          <w:szCs w:val="22"/>
        </w:rPr>
      </w:pPr>
    </w:p>
    <w:p w14:paraId="55E78D45" w14:textId="77777777" w:rsidR="0073290F" w:rsidRPr="0004754D" w:rsidRDefault="0073290F" w:rsidP="0073290F">
      <w:pPr>
        <w:pStyle w:val="NormalWeb"/>
        <w:numPr>
          <w:ilvl w:val="0"/>
          <w:numId w:val="1"/>
        </w:numPr>
        <w:ind w:hanging="501"/>
        <w:contextualSpacing/>
        <w:jc w:val="both"/>
        <w:rPr>
          <w:rFonts w:ascii="Calibri" w:hAnsi="Calibri" w:cs="Calibri"/>
          <w:sz w:val="22"/>
          <w:szCs w:val="22"/>
        </w:rPr>
      </w:pPr>
      <w:r w:rsidRPr="0004754D">
        <w:rPr>
          <w:rFonts w:ascii="Calibri" w:hAnsi="Calibri" w:cs="Calibri"/>
          <w:sz w:val="22"/>
          <w:szCs w:val="22"/>
        </w:rPr>
        <w:t xml:space="preserve">The Public Consultations by SCDC have not reached the majority of those who need to know.  A huge percentage of villagers have no idea about the oncoming pollution that will be caused by dense house building on their surrounding farmland and the significant increase in HGV movements. There are references to the Environment in SCDC’s plans, but the information doesn’t make headlines. It hasn't been properly highlighted across the wider community and slips by most of the population, hence the activities of KATCAG. </w:t>
      </w:r>
    </w:p>
    <w:p w14:paraId="2F237539" w14:textId="77777777" w:rsidR="0073290F" w:rsidRPr="0004754D" w:rsidRDefault="0073290F" w:rsidP="0073290F">
      <w:pPr>
        <w:pStyle w:val="NormalWeb"/>
        <w:ind w:left="851"/>
        <w:contextualSpacing/>
        <w:jc w:val="both"/>
        <w:rPr>
          <w:rFonts w:ascii="Calibri" w:hAnsi="Calibri" w:cs="Calibri"/>
          <w:sz w:val="22"/>
          <w:szCs w:val="22"/>
        </w:rPr>
      </w:pPr>
    </w:p>
    <w:p w14:paraId="7E54C76C" w14:textId="77777777" w:rsidR="0073290F" w:rsidRPr="006F773E" w:rsidRDefault="0073290F" w:rsidP="0073290F">
      <w:pPr>
        <w:pStyle w:val="NormalWeb"/>
        <w:numPr>
          <w:ilvl w:val="0"/>
          <w:numId w:val="1"/>
        </w:numPr>
        <w:ind w:left="851" w:hanging="425"/>
        <w:contextualSpacing/>
        <w:jc w:val="both"/>
        <w:rPr>
          <w:rFonts w:ascii="Calibri" w:hAnsi="Calibri" w:cs="Calibri"/>
          <w:sz w:val="22"/>
          <w:szCs w:val="22"/>
        </w:rPr>
      </w:pPr>
      <w:r>
        <w:rPr>
          <w:rFonts w:ascii="Calibri" w:hAnsi="Calibri" w:cs="Calibri"/>
          <w:sz w:val="22"/>
          <w:szCs w:val="22"/>
        </w:rPr>
        <w:t xml:space="preserve"> </w:t>
      </w:r>
      <w:r w:rsidRPr="0004754D">
        <w:rPr>
          <w:rFonts w:ascii="Calibri" w:hAnsi="Calibri" w:cs="Calibri"/>
          <w:sz w:val="22"/>
          <w:szCs w:val="22"/>
        </w:rPr>
        <w:t xml:space="preserve">The definition of ‘soundness’ and associated terminology baffles most people in the community. Despite the number of ‘Consultations’ the issues have never been 'headlined' and it is a fact a huge percentage of the village population has no idea what is going on at all! </w:t>
      </w:r>
      <w:proofErr w:type="gramStart"/>
      <w:r w:rsidRPr="0004754D">
        <w:rPr>
          <w:rFonts w:ascii="Calibri" w:hAnsi="Calibri" w:cs="Calibri"/>
          <w:sz w:val="22"/>
          <w:szCs w:val="22"/>
        </w:rPr>
        <w:t>The majority of</w:t>
      </w:r>
      <w:proofErr w:type="gramEnd"/>
      <w:r w:rsidRPr="0004754D">
        <w:rPr>
          <w:rFonts w:ascii="Calibri" w:hAnsi="Calibri" w:cs="Calibri"/>
          <w:sz w:val="22"/>
          <w:szCs w:val="22"/>
        </w:rPr>
        <w:t xml:space="preserve"> people do not really understand and appreciate what the impact of these developments will have upon Noise, Air and Light Pollution. </w:t>
      </w:r>
    </w:p>
    <w:p w14:paraId="15737186" w14:textId="77777777" w:rsidR="0073290F" w:rsidRDefault="0073290F" w:rsidP="0073290F">
      <w:pPr>
        <w:pStyle w:val="NormalWeb"/>
        <w:ind w:left="851"/>
        <w:contextualSpacing/>
        <w:jc w:val="both"/>
        <w:rPr>
          <w:rFonts w:ascii="Calibri" w:hAnsi="Calibri" w:cs="Calibri"/>
          <w:sz w:val="22"/>
          <w:szCs w:val="22"/>
        </w:rPr>
      </w:pPr>
    </w:p>
    <w:p w14:paraId="08D6DBC1" w14:textId="77777777" w:rsidR="0073290F" w:rsidRPr="006F773E" w:rsidRDefault="0073290F" w:rsidP="0073290F">
      <w:pPr>
        <w:pStyle w:val="NormalWeb"/>
        <w:numPr>
          <w:ilvl w:val="0"/>
          <w:numId w:val="1"/>
        </w:numPr>
        <w:ind w:left="851" w:hanging="425"/>
        <w:contextualSpacing/>
        <w:jc w:val="both"/>
        <w:rPr>
          <w:rFonts w:ascii="Calibri" w:hAnsi="Calibri" w:cs="Calibri"/>
          <w:sz w:val="22"/>
          <w:szCs w:val="22"/>
        </w:rPr>
      </w:pPr>
      <w:r w:rsidRPr="006F773E">
        <w:rPr>
          <w:rFonts w:ascii="Calibri" w:hAnsi="Calibri" w:cs="Calibri"/>
          <w:sz w:val="22"/>
          <w:szCs w:val="22"/>
        </w:rPr>
        <w:t>The SCDC guidelines on ‘soundness’ are vague to say the least. The explanations behind the four elements have not been presented in ‘</w:t>
      </w:r>
      <w:proofErr w:type="spellStart"/>
      <w:r w:rsidRPr="006F773E">
        <w:rPr>
          <w:rFonts w:ascii="Calibri" w:hAnsi="Calibri" w:cs="Calibri"/>
          <w:sz w:val="22"/>
          <w:szCs w:val="22"/>
        </w:rPr>
        <w:t>laymans</w:t>
      </w:r>
      <w:proofErr w:type="spellEnd"/>
      <w:r w:rsidRPr="006F773E">
        <w:rPr>
          <w:rFonts w:ascii="Calibri" w:hAnsi="Calibri" w:cs="Calibri"/>
          <w:sz w:val="22"/>
          <w:szCs w:val="22"/>
        </w:rPr>
        <w:t xml:space="preserve">’ terms nor has there been </w:t>
      </w:r>
      <w:proofErr w:type="gramStart"/>
      <w:r w:rsidRPr="006F773E">
        <w:rPr>
          <w:rFonts w:ascii="Calibri" w:hAnsi="Calibri" w:cs="Calibri"/>
          <w:sz w:val="22"/>
          <w:szCs w:val="22"/>
        </w:rPr>
        <w:t>sufficient</w:t>
      </w:r>
      <w:proofErr w:type="gramEnd"/>
      <w:r w:rsidRPr="006F773E">
        <w:rPr>
          <w:rFonts w:ascii="Calibri" w:hAnsi="Calibri" w:cs="Calibri"/>
          <w:sz w:val="22"/>
          <w:szCs w:val="22"/>
        </w:rPr>
        <w:t xml:space="preserve"> and appropriate examples available to demystify the process. It is most difficult to determine under which element each ‘objection/point should sit. This I feel holds many members of the public back from commenting, and when they do the quality of the submissions are very limited in content.  </w:t>
      </w:r>
    </w:p>
    <w:p w14:paraId="35B925D3" w14:textId="77777777" w:rsidR="0073290F" w:rsidRPr="0004754D" w:rsidRDefault="0073290F" w:rsidP="0073290F">
      <w:pPr>
        <w:pStyle w:val="NormalWeb"/>
        <w:ind w:left="851"/>
        <w:contextualSpacing/>
        <w:jc w:val="both"/>
        <w:rPr>
          <w:rFonts w:ascii="Calibri" w:hAnsi="Calibri" w:cs="Calibri"/>
          <w:sz w:val="22"/>
          <w:szCs w:val="22"/>
        </w:rPr>
      </w:pPr>
    </w:p>
    <w:p w14:paraId="1AECD7A9" w14:textId="77777777" w:rsidR="0073290F" w:rsidRPr="0004754D" w:rsidRDefault="0073290F" w:rsidP="0073290F">
      <w:pPr>
        <w:pStyle w:val="NormalWeb"/>
        <w:numPr>
          <w:ilvl w:val="0"/>
          <w:numId w:val="1"/>
        </w:numPr>
        <w:ind w:left="851" w:hanging="425"/>
        <w:contextualSpacing/>
        <w:jc w:val="both"/>
        <w:rPr>
          <w:rFonts w:ascii="Calibri" w:hAnsi="Calibri" w:cs="Calibri"/>
          <w:sz w:val="22"/>
          <w:szCs w:val="22"/>
        </w:rPr>
      </w:pPr>
      <w:r>
        <w:rPr>
          <w:rFonts w:ascii="Calibri" w:hAnsi="Calibri" w:cs="Calibri"/>
          <w:sz w:val="22"/>
          <w:szCs w:val="22"/>
        </w:rPr>
        <w:t xml:space="preserve">  </w:t>
      </w:r>
      <w:r w:rsidRPr="0004754D">
        <w:rPr>
          <w:rFonts w:ascii="Calibri" w:hAnsi="Calibri" w:cs="Calibri"/>
          <w:sz w:val="22"/>
          <w:szCs w:val="22"/>
        </w:rPr>
        <w:t>Given the many active campaign groups across the SCDC area and elsewhere, it is clear SCDC are seriously failing to properly appreciate the serious misgivings of the respective communities, thus leading to seriously expensive campaigns for communities and significant costs incurred by SCDC to defend their actions. Their strategies of consulting and informing</w:t>
      </w:r>
      <w:r>
        <w:rPr>
          <w:rFonts w:ascii="Calibri" w:hAnsi="Calibri" w:cs="Calibri"/>
          <w:sz w:val="22"/>
          <w:szCs w:val="22"/>
        </w:rPr>
        <w:t xml:space="preserve"> </w:t>
      </w:r>
      <w:r w:rsidRPr="0004754D">
        <w:rPr>
          <w:rFonts w:ascii="Calibri" w:hAnsi="Calibri" w:cs="Calibri"/>
          <w:sz w:val="22"/>
          <w:szCs w:val="22"/>
        </w:rPr>
        <w:t>could be subject of some ‘blue-sky thinking’ to appeal to the wider community, resulting in better attendances and communications and thus lead to better decision making</w:t>
      </w:r>
    </w:p>
    <w:p w14:paraId="0B1A373A" w14:textId="77777777" w:rsidR="0073290F" w:rsidRPr="0004754D" w:rsidRDefault="0073290F" w:rsidP="0073290F">
      <w:pPr>
        <w:pStyle w:val="NormalWeb"/>
        <w:ind w:left="426"/>
        <w:contextualSpacing/>
        <w:jc w:val="both"/>
        <w:rPr>
          <w:rFonts w:ascii="Calibri" w:hAnsi="Calibri" w:cs="Calibri"/>
          <w:sz w:val="22"/>
          <w:szCs w:val="22"/>
        </w:rPr>
      </w:pPr>
    </w:p>
    <w:p w14:paraId="2254E46D" w14:textId="77777777" w:rsidR="003B4BB5" w:rsidRDefault="003B4BB5">
      <w:bookmarkStart w:id="0" w:name="_GoBack"/>
      <w:bookmarkEnd w:id="0"/>
    </w:p>
    <w:sectPr w:rsidR="003B4BB5" w:rsidSect="003B4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F9A"/>
    <w:multiLevelType w:val="hybridMultilevel"/>
    <w:tmpl w:val="B0703776"/>
    <w:lvl w:ilvl="0" w:tplc="00401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649E4"/>
    <w:multiLevelType w:val="hybridMultilevel"/>
    <w:tmpl w:val="54A6EB4A"/>
    <w:lvl w:ilvl="0" w:tplc="405C718A">
      <w:start w:val="47"/>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74A0C"/>
    <w:multiLevelType w:val="hybridMultilevel"/>
    <w:tmpl w:val="13A86B6E"/>
    <w:lvl w:ilvl="0" w:tplc="435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C12D70"/>
    <w:multiLevelType w:val="hybridMultilevel"/>
    <w:tmpl w:val="2FC868A8"/>
    <w:lvl w:ilvl="0" w:tplc="511AACA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E144458"/>
    <w:multiLevelType w:val="hybridMultilevel"/>
    <w:tmpl w:val="E9C0ECBC"/>
    <w:lvl w:ilvl="0" w:tplc="321A57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ED35DB"/>
    <w:multiLevelType w:val="hybridMultilevel"/>
    <w:tmpl w:val="88DA85BE"/>
    <w:lvl w:ilvl="0" w:tplc="09CC1CC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561A2"/>
    <w:multiLevelType w:val="hybridMultilevel"/>
    <w:tmpl w:val="78F4840C"/>
    <w:lvl w:ilvl="0" w:tplc="9BEEA79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4045C31"/>
    <w:multiLevelType w:val="hybridMultilevel"/>
    <w:tmpl w:val="B0703776"/>
    <w:lvl w:ilvl="0" w:tplc="00401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BD7E44"/>
    <w:multiLevelType w:val="hybridMultilevel"/>
    <w:tmpl w:val="863E9278"/>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2F3C4017"/>
    <w:multiLevelType w:val="hybridMultilevel"/>
    <w:tmpl w:val="D9ECC5B0"/>
    <w:lvl w:ilvl="0" w:tplc="E84C6642">
      <w:start w:val="5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56B26"/>
    <w:multiLevelType w:val="hybridMultilevel"/>
    <w:tmpl w:val="3FC825FC"/>
    <w:lvl w:ilvl="0" w:tplc="487650F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8907ADD"/>
    <w:multiLevelType w:val="hybridMultilevel"/>
    <w:tmpl w:val="65365512"/>
    <w:lvl w:ilvl="0" w:tplc="FD961D4E">
      <w:start w:val="3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41957"/>
    <w:multiLevelType w:val="hybridMultilevel"/>
    <w:tmpl w:val="9A7C29A0"/>
    <w:lvl w:ilvl="0" w:tplc="6DB8A912">
      <w:start w:val="1"/>
      <w:numFmt w:val="lowerLetter"/>
      <w:lvlText w:val="%1)"/>
      <w:lvlJc w:val="left"/>
      <w:pPr>
        <w:ind w:left="927" w:hanging="360"/>
      </w:pPr>
      <w:rPr>
        <w:rFonts w:ascii="Calibri" w:eastAsia="Calibri" w:hAnsi="Calibr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87F56EB"/>
    <w:multiLevelType w:val="hybridMultilevel"/>
    <w:tmpl w:val="88DA85BE"/>
    <w:lvl w:ilvl="0" w:tplc="09CC1CCC">
      <w:start w:val="1"/>
      <w:numFmt w:val="decimal"/>
      <w:lvlText w:val="%1."/>
      <w:lvlJc w:val="left"/>
      <w:pPr>
        <w:ind w:left="927"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4007E"/>
    <w:multiLevelType w:val="hybridMultilevel"/>
    <w:tmpl w:val="3D904432"/>
    <w:lvl w:ilvl="0" w:tplc="3E9C357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9081B27"/>
    <w:multiLevelType w:val="hybridMultilevel"/>
    <w:tmpl w:val="E878DCA4"/>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8512B"/>
    <w:multiLevelType w:val="hybridMultilevel"/>
    <w:tmpl w:val="829C3ED2"/>
    <w:lvl w:ilvl="0" w:tplc="F7A0476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7FA40E20"/>
    <w:multiLevelType w:val="hybridMultilevel"/>
    <w:tmpl w:val="BB8C67F2"/>
    <w:lvl w:ilvl="0" w:tplc="130E74D6">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6"/>
  </w:num>
  <w:num w:numId="5">
    <w:abstractNumId w:val="3"/>
  </w:num>
  <w:num w:numId="6">
    <w:abstractNumId w:val="0"/>
  </w:num>
  <w:num w:numId="7">
    <w:abstractNumId w:val="11"/>
  </w:num>
  <w:num w:numId="8">
    <w:abstractNumId w:val="9"/>
  </w:num>
  <w:num w:numId="9">
    <w:abstractNumId w:val="17"/>
  </w:num>
  <w:num w:numId="10">
    <w:abstractNumId w:val="15"/>
  </w:num>
  <w:num w:numId="11">
    <w:abstractNumId w:val="4"/>
  </w:num>
  <w:num w:numId="12">
    <w:abstractNumId w:val="5"/>
  </w:num>
  <w:num w:numId="13">
    <w:abstractNumId w:val="14"/>
  </w:num>
  <w:num w:numId="14">
    <w:abstractNumId w:val="12"/>
  </w:num>
  <w:num w:numId="15">
    <w:abstractNumId w:val="1"/>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DF"/>
    <w:rsid w:val="0002337C"/>
    <w:rsid w:val="00044085"/>
    <w:rsid w:val="000918F1"/>
    <w:rsid w:val="000A014C"/>
    <w:rsid w:val="000B5569"/>
    <w:rsid w:val="000C5412"/>
    <w:rsid w:val="000D08CA"/>
    <w:rsid w:val="000F7C16"/>
    <w:rsid w:val="00107CAE"/>
    <w:rsid w:val="00107EEE"/>
    <w:rsid w:val="00115739"/>
    <w:rsid w:val="00126C74"/>
    <w:rsid w:val="00140A9C"/>
    <w:rsid w:val="001414B8"/>
    <w:rsid w:val="00185690"/>
    <w:rsid w:val="001C308F"/>
    <w:rsid w:val="001C7166"/>
    <w:rsid w:val="001C7AFC"/>
    <w:rsid w:val="001D24ED"/>
    <w:rsid w:val="001D6ED1"/>
    <w:rsid w:val="001E375B"/>
    <w:rsid w:val="001E6441"/>
    <w:rsid w:val="001F14DF"/>
    <w:rsid w:val="001F1E63"/>
    <w:rsid w:val="001F48A3"/>
    <w:rsid w:val="00210D90"/>
    <w:rsid w:val="002132D8"/>
    <w:rsid w:val="002213B3"/>
    <w:rsid w:val="002361F4"/>
    <w:rsid w:val="002528F1"/>
    <w:rsid w:val="002553E3"/>
    <w:rsid w:val="0026286B"/>
    <w:rsid w:val="00263EBB"/>
    <w:rsid w:val="00264602"/>
    <w:rsid w:val="00265A5C"/>
    <w:rsid w:val="00265AA3"/>
    <w:rsid w:val="002829D9"/>
    <w:rsid w:val="00283611"/>
    <w:rsid w:val="002940A1"/>
    <w:rsid w:val="0029658F"/>
    <w:rsid w:val="002A0DF7"/>
    <w:rsid w:val="002A7EFC"/>
    <w:rsid w:val="002B314E"/>
    <w:rsid w:val="002B413A"/>
    <w:rsid w:val="002E1C97"/>
    <w:rsid w:val="002E7A40"/>
    <w:rsid w:val="00304E55"/>
    <w:rsid w:val="00305131"/>
    <w:rsid w:val="00314F49"/>
    <w:rsid w:val="00316422"/>
    <w:rsid w:val="0033324B"/>
    <w:rsid w:val="0033683A"/>
    <w:rsid w:val="00365374"/>
    <w:rsid w:val="003662FE"/>
    <w:rsid w:val="003710DA"/>
    <w:rsid w:val="003756A8"/>
    <w:rsid w:val="003A0C40"/>
    <w:rsid w:val="003B1606"/>
    <w:rsid w:val="003B4BB5"/>
    <w:rsid w:val="003E1D5D"/>
    <w:rsid w:val="00402D0D"/>
    <w:rsid w:val="004206AF"/>
    <w:rsid w:val="00431C8B"/>
    <w:rsid w:val="0043674B"/>
    <w:rsid w:val="00451786"/>
    <w:rsid w:val="0047011D"/>
    <w:rsid w:val="00470DB0"/>
    <w:rsid w:val="0049376C"/>
    <w:rsid w:val="004A1E99"/>
    <w:rsid w:val="004A37D7"/>
    <w:rsid w:val="004B48C1"/>
    <w:rsid w:val="004D7EFC"/>
    <w:rsid w:val="00502BB9"/>
    <w:rsid w:val="00511017"/>
    <w:rsid w:val="00520238"/>
    <w:rsid w:val="00561E4E"/>
    <w:rsid w:val="005677C6"/>
    <w:rsid w:val="00573C82"/>
    <w:rsid w:val="005977A1"/>
    <w:rsid w:val="005A2D2A"/>
    <w:rsid w:val="005A7477"/>
    <w:rsid w:val="005B020F"/>
    <w:rsid w:val="005B1BB0"/>
    <w:rsid w:val="005C514C"/>
    <w:rsid w:val="005D5A1A"/>
    <w:rsid w:val="005E59D0"/>
    <w:rsid w:val="005F4795"/>
    <w:rsid w:val="00627BA1"/>
    <w:rsid w:val="006674C9"/>
    <w:rsid w:val="00680D55"/>
    <w:rsid w:val="006A34F2"/>
    <w:rsid w:val="006F2516"/>
    <w:rsid w:val="006F2C29"/>
    <w:rsid w:val="006F2E56"/>
    <w:rsid w:val="006F773E"/>
    <w:rsid w:val="00700320"/>
    <w:rsid w:val="00710A68"/>
    <w:rsid w:val="00721C20"/>
    <w:rsid w:val="0073290F"/>
    <w:rsid w:val="00736DA7"/>
    <w:rsid w:val="00741075"/>
    <w:rsid w:val="0076421E"/>
    <w:rsid w:val="007677D7"/>
    <w:rsid w:val="00794C16"/>
    <w:rsid w:val="00795782"/>
    <w:rsid w:val="007A12D7"/>
    <w:rsid w:val="007B304D"/>
    <w:rsid w:val="007C3527"/>
    <w:rsid w:val="007C371F"/>
    <w:rsid w:val="007D370E"/>
    <w:rsid w:val="0080633B"/>
    <w:rsid w:val="00844887"/>
    <w:rsid w:val="00855B5E"/>
    <w:rsid w:val="008854A7"/>
    <w:rsid w:val="00887139"/>
    <w:rsid w:val="00891DC8"/>
    <w:rsid w:val="00893A31"/>
    <w:rsid w:val="008A2FD5"/>
    <w:rsid w:val="008A7EC2"/>
    <w:rsid w:val="008B149E"/>
    <w:rsid w:val="008B76CE"/>
    <w:rsid w:val="008C4BFC"/>
    <w:rsid w:val="008D51B2"/>
    <w:rsid w:val="008D6855"/>
    <w:rsid w:val="008F66EF"/>
    <w:rsid w:val="00904B0C"/>
    <w:rsid w:val="00914838"/>
    <w:rsid w:val="00934594"/>
    <w:rsid w:val="009572E6"/>
    <w:rsid w:val="00965A26"/>
    <w:rsid w:val="00972B63"/>
    <w:rsid w:val="00983B8C"/>
    <w:rsid w:val="009C6D91"/>
    <w:rsid w:val="009D70ED"/>
    <w:rsid w:val="009E18B7"/>
    <w:rsid w:val="009E5B47"/>
    <w:rsid w:val="009F1246"/>
    <w:rsid w:val="009F6FCF"/>
    <w:rsid w:val="00A07E5B"/>
    <w:rsid w:val="00A5551B"/>
    <w:rsid w:val="00A61426"/>
    <w:rsid w:val="00A745DE"/>
    <w:rsid w:val="00A9769F"/>
    <w:rsid w:val="00AB321B"/>
    <w:rsid w:val="00AB6890"/>
    <w:rsid w:val="00AD557E"/>
    <w:rsid w:val="00AE07DF"/>
    <w:rsid w:val="00AE1A8A"/>
    <w:rsid w:val="00AF4767"/>
    <w:rsid w:val="00B06355"/>
    <w:rsid w:val="00B25F84"/>
    <w:rsid w:val="00B30166"/>
    <w:rsid w:val="00B45C7A"/>
    <w:rsid w:val="00B45CF4"/>
    <w:rsid w:val="00B605A2"/>
    <w:rsid w:val="00B60A67"/>
    <w:rsid w:val="00B63DB4"/>
    <w:rsid w:val="00B805D6"/>
    <w:rsid w:val="00B84131"/>
    <w:rsid w:val="00B87E2E"/>
    <w:rsid w:val="00B91E3E"/>
    <w:rsid w:val="00BB5A65"/>
    <w:rsid w:val="00BB751F"/>
    <w:rsid w:val="00BC72C1"/>
    <w:rsid w:val="00BD0287"/>
    <w:rsid w:val="00BD2B83"/>
    <w:rsid w:val="00BE1D77"/>
    <w:rsid w:val="00BE4E30"/>
    <w:rsid w:val="00C0515F"/>
    <w:rsid w:val="00C16E82"/>
    <w:rsid w:val="00C24C49"/>
    <w:rsid w:val="00C30AA7"/>
    <w:rsid w:val="00C3741D"/>
    <w:rsid w:val="00C3791E"/>
    <w:rsid w:val="00C4153C"/>
    <w:rsid w:val="00C44B11"/>
    <w:rsid w:val="00C46288"/>
    <w:rsid w:val="00C76657"/>
    <w:rsid w:val="00C84A09"/>
    <w:rsid w:val="00C952B0"/>
    <w:rsid w:val="00CB1221"/>
    <w:rsid w:val="00CB5314"/>
    <w:rsid w:val="00CE3F07"/>
    <w:rsid w:val="00CE77A0"/>
    <w:rsid w:val="00CF2EB5"/>
    <w:rsid w:val="00CF4F16"/>
    <w:rsid w:val="00D0374A"/>
    <w:rsid w:val="00D0532E"/>
    <w:rsid w:val="00D27297"/>
    <w:rsid w:val="00D42875"/>
    <w:rsid w:val="00D47B46"/>
    <w:rsid w:val="00D53CC7"/>
    <w:rsid w:val="00D54131"/>
    <w:rsid w:val="00D62848"/>
    <w:rsid w:val="00DA2357"/>
    <w:rsid w:val="00DC2E3C"/>
    <w:rsid w:val="00DD2879"/>
    <w:rsid w:val="00DD5B19"/>
    <w:rsid w:val="00DD739D"/>
    <w:rsid w:val="00E21DDA"/>
    <w:rsid w:val="00E4328C"/>
    <w:rsid w:val="00E5065E"/>
    <w:rsid w:val="00E52EE3"/>
    <w:rsid w:val="00E54444"/>
    <w:rsid w:val="00E66F3E"/>
    <w:rsid w:val="00E80B37"/>
    <w:rsid w:val="00EA1392"/>
    <w:rsid w:val="00EB2584"/>
    <w:rsid w:val="00EB33AB"/>
    <w:rsid w:val="00EB6F4C"/>
    <w:rsid w:val="00EC6F4F"/>
    <w:rsid w:val="00ED2F12"/>
    <w:rsid w:val="00F0707F"/>
    <w:rsid w:val="00F12112"/>
    <w:rsid w:val="00F4308D"/>
    <w:rsid w:val="00F57363"/>
    <w:rsid w:val="00F8607E"/>
    <w:rsid w:val="00F95638"/>
    <w:rsid w:val="00FA7E53"/>
    <w:rsid w:val="00FD2E3B"/>
    <w:rsid w:val="00FD5729"/>
    <w:rsid w:val="00FD6E0C"/>
    <w:rsid w:val="00FE107E"/>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E2A0"/>
  <w15:chartTrackingRefBased/>
  <w15:docId w15:val="{AD61A16D-6568-4151-9A48-18B7E55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07DF"/>
    <w:rPr>
      <w:color w:val="0000FF"/>
      <w:u w:val="single"/>
    </w:rPr>
  </w:style>
  <w:style w:type="paragraph" w:styleId="ListParagraph">
    <w:name w:val="List Paragraph"/>
    <w:basedOn w:val="Normal"/>
    <w:uiPriority w:val="34"/>
    <w:qFormat/>
    <w:rsid w:val="00AE07DF"/>
    <w:pPr>
      <w:ind w:left="720"/>
    </w:pPr>
  </w:style>
  <w:style w:type="paragraph" w:styleId="NormalWeb">
    <w:name w:val="Normal (Web)"/>
    <w:basedOn w:val="Normal"/>
    <w:uiPriority w:val="99"/>
    <w:unhideWhenUsed/>
    <w:rsid w:val="001C308F"/>
    <w:pPr>
      <w:spacing w:before="100" w:beforeAutospacing="1" w:after="100" w:afterAutospacing="1" w:line="240" w:lineRule="auto"/>
    </w:pPr>
    <w:rPr>
      <w:rFonts w:ascii="Times New Roman" w:hAnsi="Times New Roman"/>
      <w:color w:val="000000"/>
      <w:sz w:val="24"/>
      <w:szCs w:val="24"/>
      <w:lang w:eastAsia="en-GB"/>
    </w:rPr>
  </w:style>
  <w:style w:type="paragraph" w:customStyle="1" w:styleId="ydpe06a94aayiv4884094150msoplaintext">
    <w:name w:val="ydpe06a94aayiv4884094150msoplaintext"/>
    <w:basedOn w:val="Normal"/>
    <w:rsid w:val="001C308F"/>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14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7209">
      <w:bodyDiv w:val="1"/>
      <w:marLeft w:val="0"/>
      <w:marRight w:val="0"/>
      <w:marTop w:val="0"/>
      <w:marBottom w:val="0"/>
      <w:divBdr>
        <w:top w:val="none" w:sz="0" w:space="0" w:color="auto"/>
        <w:left w:val="none" w:sz="0" w:space="0" w:color="auto"/>
        <w:bottom w:val="none" w:sz="0" w:space="0" w:color="auto"/>
        <w:right w:val="none" w:sz="0" w:space="0" w:color="auto"/>
      </w:divBdr>
    </w:div>
    <w:div w:id="13840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business-44849492" TargetMode="External"/><Relationship Id="rId5" Type="http://schemas.openxmlformats.org/officeDocument/2006/relationships/hyperlink" Target="https://www.pwc.co.uk/services/economics-policy/insights/the-impact-of-automation-on-jo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44678</CharactersWithSpaces>
  <SharedDoc>false</SharedDoc>
  <HLinks>
    <vt:vector size="12" baseType="variant">
      <vt:variant>
        <vt:i4>87</vt:i4>
      </vt:variant>
      <vt:variant>
        <vt:i4>3</vt:i4>
      </vt:variant>
      <vt:variant>
        <vt:i4>0</vt:i4>
      </vt:variant>
      <vt:variant>
        <vt:i4>5</vt:i4>
      </vt:variant>
      <vt:variant>
        <vt:lpwstr>https://www.bbc.co.uk/news/business-44849492</vt:lpwstr>
      </vt:variant>
      <vt:variant>
        <vt:lpwstr/>
      </vt:variant>
      <vt:variant>
        <vt:i4>2752632</vt:i4>
      </vt:variant>
      <vt:variant>
        <vt:i4>0</vt:i4>
      </vt:variant>
      <vt:variant>
        <vt:i4>0</vt:i4>
      </vt:variant>
      <vt:variant>
        <vt:i4>5</vt:i4>
      </vt:variant>
      <vt:variant>
        <vt:lpwstr>https://www.pwc.co.uk/services/economics-policy/insights/the-impact-of-automation-on-jobs.html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cp:lastModifiedBy>Stephen Wrinch</cp:lastModifiedBy>
  <cp:revision>80</cp:revision>
  <dcterms:created xsi:type="dcterms:W3CDTF">2019-02-25T14:27:00Z</dcterms:created>
  <dcterms:modified xsi:type="dcterms:W3CDTF">2019-02-25T16:38:00Z</dcterms:modified>
</cp:coreProperties>
</file>