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E9A5" w14:textId="0F638A5E" w:rsidR="00D12F75" w:rsidRPr="008A75CD" w:rsidRDefault="00D12F75" w:rsidP="00B64044">
      <w:pPr>
        <w:spacing w:line="240" w:lineRule="auto"/>
        <w:contextualSpacing/>
        <w:jc w:val="center"/>
        <w:rPr>
          <w:rFonts w:eastAsia="Times New Roman" w:cstheme="minorHAnsi"/>
          <w:color w:val="000000"/>
          <w:sz w:val="20"/>
          <w:szCs w:val="20"/>
          <w:lang w:eastAsia="en-GB"/>
        </w:rPr>
      </w:pPr>
      <w:bookmarkStart w:id="0" w:name="_GoBack"/>
      <w:bookmarkEnd w:id="0"/>
    </w:p>
    <w:p w14:paraId="0E074050" w14:textId="77777777" w:rsidR="00F04F13" w:rsidRPr="008A75CD" w:rsidRDefault="00F04F13" w:rsidP="00B64044">
      <w:pPr>
        <w:spacing w:line="240" w:lineRule="auto"/>
        <w:contextualSpacing/>
        <w:rPr>
          <w:rFonts w:eastAsia="Times New Roman" w:cstheme="minorHAnsi"/>
          <w:color w:val="000000"/>
          <w:sz w:val="24"/>
          <w:szCs w:val="24"/>
          <w:lang w:eastAsia="en-GB"/>
        </w:rPr>
      </w:pPr>
    </w:p>
    <w:p w14:paraId="78EB8554" w14:textId="7C9E1E52" w:rsidR="00F04F13" w:rsidRPr="00F84AFB" w:rsidRDefault="008A75CD" w:rsidP="00B64044">
      <w:pPr>
        <w:pStyle w:val="xmsonormal"/>
        <w:shd w:val="clear" w:color="auto" w:fill="FFFFFF"/>
        <w:spacing w:before="0" w:beforeAutospacing="0" w:after="0" w:afterAutospacing="0"/>
        <w:contextualSpacing/>
        <w:rPr>
          <w:rFonts w:asciiTheme="minorHAnsi" w:hAnsiTheme="minorHAnsi" w:cstheme="minorHAnsi"/>
          <w:color w:val="212121"/>
          <w:sz w:val="22"/>
          <w:szCs w:val="22"/>
        </w:rPr>
      </w:pPr>
      <w:r w:rsidRPr="00F84AFB">
        <w:rPr>
          <w:rFonts w:asciiTheme="minorHAnsi" w:hAnsiTheme="minorHAnsi" w:cstheme="minorHAnsi"/>
          <w:color w:val="212121"/>
          <w:sz w:val="22"/>
          <w:szCs w:val="22"/>
        </w:rPr>
        <w:t xml:space="preserve">Mr </w:t>
      </w:r>
      <w:r w:rsidR="00F04F13" w:rsidRPr="00F84AFB">
        <w:rPr>
          <w:rFonts w:asciiTheme="minorHAnsi" w:hAnsiTheme="minorHAnsi" w:cstheme="minorHAnsi"/>
          <w:color w:val="212121"/>
          <w:sz w:val="22"/>
          <w:szCs w:val="22"/>
        </w:rPr>
        <w:t>Mark Edgerley</w:t>
      </w:r>
      <w:r w:rsidR="00F04F13" w:rsidRPr="00F84AFB">
        <w:rPr>
          <w:rStyle w:val="apple-converted-space"/>
          <w:rFonts w:asciiTheme="minorHAnsi" w:hAnsiTheme="minorHAnsi" w:cstheme="minorHAnsi"/>
          <w:color w:val="212121"/>
          <w:sz w:val="22"/>
          <w:szCs w:val="22"/>
        </w:rPr>
        <w:t> </w:t>
      </w:r>
      <w:r w:rsidR="00F04F13" w:rsidRPr="00F84AFB">
        <w:rPr>
          <w:rFonts w:asciiTheme="minorHAnsi" w:hAnsiTheme="minorHAnsi" w:cstheme="minorHAnsi"/>
          <w:iCs/>
          <w:color w:val="212121"/>
          <w:sz w:val="22"/>
          <w:szCs w:val="22"/>
        </w:rPr>
        <w:t>BSc (Hons) PgCert MA MRTPI</w:t>
      </w:r>
      <w:r w:rsidR="00F04F13" w:rsidRPr="00F84AFB">
        <w:rPr>
          <w:rFonts w:asciiTheme="minorHAnsi" w:hAnsiTheme="minorHAnsi" w:cstheme="minorHAnsi"/>
          <w:color w:val="212121"/>
          <w:sz w:val="22"/>
          <w:szCs w:val="22"/>
        </w:rPr>
        <w:br/>
        <w:t>Principal Planner</w:t>
      </w:r>
      <w:r w:rsidR="00F04F13" w:rsidRPr="00F84AFB">
        <w:rPr>
          <w:rFonts w:asciiTheme="minorHAnsi" w:hAnsiTheme="minorHAnsi" w:cstheme="minorHAnsi"/>
          <w:color w:val="212121"/>
          <w:sz w:val="22"/>
          <w:szCs w:val="22"/>
        </w:rPr>
        <w:br/>
        <w:t>Planning Policy &amp; Delivery</w:t>
      </w:r>
      <w:r w:rsidR="00F04F13" w:rsidRPr="00F84AFB">
        <w:rPr>
          <w:rFonts w:asciiTheme="minorHAnsi" w:hAnsiTheme="minorHAnsi" w:cstheme="minorHAnsi"/>
          <w:color w:val="212121"/>
          <w:sz w:val="22"/>
          <w:szCs w:val="22"/>
        </w:rPr>
        <w:br/>
        <w:t>Suffolk Coastal District Council</w:t>
      </w:r>
    </w:p>
    <w:p w14:paraId="58FE36CF" w14:textId="20105D16" w:rsidR="00947FF5" w:rsidRPr="00F84AFB" w:rsidRDefault="00947FF5" w:rsidP="00B64044">
      <w:pPr>
        <w:pStyle w:val="xmsonormal"/>
        <w:shd w:val="clear" w:color="auto" w:fill="FFFFFF"/>
        <w:spacing w:before="0" w:beforeAutospacing="0" w:after="0" w:afterAutospacing="0"/>
        <w:contextualSpacing/>
        <w:rPr>
          <w:rFonts w:asciiTheme="minorHAnsi" w:hAnsiTheme="minorHAnsi" w:cstheme="minorHAnsi"/>
          <w:color w:val="212121"/>
          <w:sz w:val="22"/>
          <w:szCs w:val="22"/>
        </w:rPr>
      </w:pPr>
      <w:r w:rsidRPr="00F84AFB">
        <w:rPr>
          <w:rFonts w:asciiTheme="minorHAnsi" w:hAnsiTheme="minorHAnsi" w:cstheme="minorHAnsi"/>
          <w:color w:val="212121"/>
          <w:sz w:val="22"/>
          <w:szCs w:val="22"/>
        </w:rPr>
        <w:t>East Suffolk House</w:t>
      </w:r>
    </w:p>
    <w:p w14:paraId="2ECFDC66" w14:textId="3A86CD1C" w:rsidR="00947FF5" w:rsidRPr="00F84AFB" w:rsidRDefault="00947FF5" w:rsidP="00B64044">
      <w:pPr>
        <w:pStyle w:val="xmsonormal"/>
        <w:shd w:val="clear" w:color="auto" w:fill="FFFFFF"/>
        <w:spacing w:before="0" w:beforeAutospacing="0" w:after="0" w:afterAutospacing="0"/>
        <w:contextualSpacing/>
        <w:rPr>
          <w:rFonts w:asciiTheme="minorHAnsi" w:hAnsiTheme="minorHAnsi" w:cstheme="minorHAnsi"/>
          <w:color w:val="212121"/>
          <w:sz w:val="22"/>
          <w:szCs w:val="22"/>
        </w:rPr>
      </w:pPr>
      <w:r w:rsidRPr="00F84AFB">
        <w:rPr>
          <w:rFonts w:asciiTheme="minorHAnsi" w:hAnsiTheme="minorHAnsi" w:cstheme="minorHAnsi"/>
          <w:color w:val="212121"/>
          <w:sz w:val="22"/>
          <w:szCs w:val="22"/>
        </w:rPr>
        <w:t>Station Road, Melton</w:t>
      </w:r>
    </w:p>
    <w:p w14:paraId="60778336" w14:textId="3F803937" w:rsidR="00804249" w:rsidRPr="00F84AFB" w:rsidRDefault="00804249" w:rsidP="00B64044">
      <w:pPr>
        <w:pStyle w:val="xmsonormal"/>
        <w:shd w:val="clear" w:color="auto" w:fill="FFFFFF"/>
        <w:spacing w:before="0" w:beforeAutospacing="0" w:after="0" w:afterAutospacing="0"/>
        <w:contextualSpacing/>
        <w:rPr>
          <w:rFonts w:asciiTheme="minorHAnsi" w:hAnsiTheme="minorHAnsi" w:cstheme="minorHAnsi"/>
          <w:color w:val="212121"/>
          <w:sz w:val="22"/>
          <w:szCs w:val="22"/>
        </w:rPr>
      </w:pPr>
      <w:r w:rsidRPr="00F84AFB">
        <w:rPr>
          <w:rFonts w:asciiTheme="minorHAnsi" w:hAnsiTheme="minorHAnsi" w:cstheme="minorHAnsi"/>
          <w:color w:val="212121"/>
          <w:sz w:val="22"/>
          <w:szCs w:val="22"/>
        </w:rPr>
        <w:t>Woodbridge IP12 1RT</w:t>
      </w:r>
    </w:p>
    <w:p w14:paraId="4B38C193" w14:textId="3CAE7641" w:rsidR="00F04F13" w:rsidRPr="00F84AFB" w:rsidRDefault="00F04F13" w:rsidP="00B64044">
      <w:pPr>
        <w:spacing w:line="240" w:lineRule="auto"/>
        <w:contextualSpacing/>
        <w:rPr>
          <w:rFonts w:eastAsia="Times New Roman" w:cstheme="minorHAnsi"/>
          <w:color w:val="000000"/>
          <w:lang w:eastAsia="en-GB"/>
        </w:rPr>
      </w:pPr>
    </w:p>
    <w:p w14:paraId="0BFB5F34" w14:textId="5E713CA6" w:rsidR="008071AE" w:rsidRPr="00F84AFB" w:rsidRDefault="008071AE" w:rsidP="00B64044">
      <w:pPr>
        <w:spacing w:line="240" w:lineRule="auto"/>
        <w:contextualSpacing/>
        <w:rPr>
          <w:rFonts w:eastAsia="Times New Roman" w:cstheme="minorHAnsi"/>
          <w:color w:val="000000"/>
          <w:lang w:eastAsia="en-GB"/>
        </w:rPr>
      </w:pPr>
      <w:r w:rsidRPr="00F84AFB">
        <w:rPr>
          <w:rFonts w:eastAsia="Times New Roman" w:cstheme="minorHAnsi"/>
          <w:color w:val="000000"/>
          <w:lang w:eastAsia="en-GB"/>
        </w:rPr>
        <w:fldChar w:fldCharType="begin"/>
      </w:r>
      <w:r w:rsidRPr="00F84AFB">
        <w:rPr>
          <w:rFonts w:eastAsia="Times New Roman" w:cstheme="minorHAnsi"/>
          <w:color w:val="000000"/>
          <w:lang w:eastAsia="en-GB"/>
        </w:rPr>
        <w:instrText xml:space="preserve"> DATE \@ "dddd, dd MMMM yyyy" </w:instrText>
      </w:r>
      <w:r w:rsidRPr="00F84AFB">
        <w:rPr>
          <w:rFonts w:eastAsia="Times New Roman" w:cstheme="minorHAnsi"/>
          <w:color w:val="000000"/>
          <w:lang w:eastAsia="en-GB"/>
        </w:rPr>
        <w:fldChar w:fldCharType="separate"/>
      </w:r>
      <w:r w:rsidR="009509BC">
        <w:rPr>
          <w:rFonts w:eastAsia="Times New Roman" w:cstheme="minorHAnsi"/>
          <w:noProof/>
          <w:color w:val="000000"/>
          <w:lang w:eastAsia="en-GB"/>
        </w:rPr>
        <w:t>Tuesday, 19 February 2019</w:t>
      </w:r>
      <w:r w:rsidRPr="00F84AFB">
        <w:rPr>
          <w:rFonts w:eastAsia="Times New Roman" w:cstheme="minorHAnsi"/>
          <w:color w:val="000000"/>
          <w:lang w:eastAsia="en-GB"/>
        </w:rPr>
        <w:fldChar w:fldCharType="end"/>
      </w:r>
    </w:p>
    <w:p w14:paraId="16E79D75" w14:textId="4FDB6B2F" w:rsidR="008071AE" w:rsidRPr="00F84AFB" w:rsidRDefault="008071AE" w:rsidP="00B64044">
      <w:pPr>
        <w:spacing w:line="240" w:lineRule="auto"/>
        <w:contextualSpacing/>
        <w:jc w:val="both"/>
        <w:rPr>
          <w:rFonts w:eastAsia="Times New Roman" w:cstheme="minorHAnsi"/>
          <w:color w:val="000000"/>
          <w:lang w:eastAsia="en-GB"/>
        </w:rPr>
      </w:pPr>
    </w:p>
    <w:p w14:paraId="2FABCD22" w14:textId="77777777" w:rsidR="00500184" w:rsidRPr="00F84AFB" w:rsidRDefault="00500184" w:rsidP="00B64044">
      <w:pPr>
        <w:spacing w:line="240" w:lineRule="auto"/>
        <w:contextualSpacing/>
        <w:jc w:val="both"/>
        <w:rPr>
          <w:rFonts w:eastAsia="Times New Roman" w:cstheme="minorHAnsi"/>
          <w:color w:val="000000"/>
          <w:lang w:eastAsia="en-GB"/>
        </w:rPr>
      </w:pPr>
    </w:p>
    <w:p w14:paraId="5B670941" w14:textId="3597AD7E" w:rsidR="00F04F13" w:rsidRPr="00F84AFB" w:rsidRDefault="00F04F13" w:rsidP="00B64044">
      <w:pPr>
        <w:spacing w:line="240" w:lineRule="auto"/>
        <w:contextualSpacing/>
        <w:jc w:val="both"/>
        <w:rPr>
          <w:rFonts w:eastAsia="Times New Roman" w:cstheme="minorHAnsi"/>
          <w:color w:val="000000"/>
          <w:lang w:eastAsia="en-GB"/>
        </w:rPr>
      </w:pPr>
      <w:r w:rsidRPr="00F84AFB">
        <w:rPr>
          <w:rFonts w:eastAsia="Times New Roman" w:cstheme="minorHAnsi"/>
          <w:color w:val="000000"/>
          <w:lang w:eastAsia="en-GB"/>
        </w:rPr>
        <w:t>Dear Mr Edgerley,</w:t>
      </w:r>
    </w:p>
    <w:p w14:paraId="1ADAEF30" w14:textId="08F187B4" w:rsidR="00F04F13" w:rsidRPr="00F84AFB" w:rsidRDefault="00F04F13" w:rsidP="00B64044">
      <w:pPr>
        <w:pStyle w:val="xmsonormal"/>
        <w:shd w:val="clear" w:color="auto" w:fill="FFFFFF"/>
        <w:spacing w:before="0" w:beforeAutospacing="0" w:after="0" w:afterAutospacing="0"/>
        <w:contextualSpacing/>
        <w:rPr>
          <w:rFonts w:asciiTheme="minorHAnsi" w:hAnsiTheme="minorHAnsi" w:cstheme="minorHAnsi"/>
          <w:b/>
          <w:color w:val="212121"/>
          <w:sz w:val="22"/>
          <w:szCs w:val="22"/>
          <w:u w:val="single"/>
        </w:rPr>
      </w:pPr>
      <w:r w:rsidRPr="00F84AFB">
        <w:rPr>
          <w:rFonts w:asciiTheme="minorHAnsi" w:hAnsiTheme="minorHAnsi" w:cstheme="minorHAnsi"/>
          <w:b/>
          <w:bCs/>
          <w:color w:val="212121"/>
          <w:sz w:val="22"/>
          <w:szCs w:val="22"/>
          <w:u w:val="single"/>
        </w:rPr>
        <w:t xml:space="preserve">Consultation </w:t>
      </w:r>
      <w:r w:rsidR="00927B64" w:rsidRPr="00F84AFB">
        <w:rPr>
          <w:rFonts w:asciiTheme="minorHAnsi" w:hAnsiTheme="minorHAnsi" w:cstheme="minorHAnsi"/>
          <w:b/>
          <w:bCs/>
          <w:color w:val="212121"/>
          <w:sz w:val="22"/>
          <w:szCs w:val="22"/>
          <w:u w:val="single"/>
        </w:rPr>
        <w:t>re.</w:t>
      </w:r>
      <w:r w:rsidRPr="00F84AFB">
        <w:rPr>
          <w:rFonts w:asciiTheme="minorHAnsi" w:hAnsiTheme="minorHAnsi" w:cstheme="minorHAnsi"/>
          <w:b/>
          <w:bCs/>
          <w:color w:val="212121"/>
          <w:sz w:val="22"/>
          <w:szCs w:val="22"/>
          <w:u w:val="single"/>
        </w:rPr>
        <w:t xml:space="preserve"> the Soundness of the S</w:t>
      </w:r>
      <w:r w:rsidR="00927B64" w:rsidRPr="00F84AFB">
        <w:rPr>
          <w:rFonts w:asciiTheme="minorHAnsi" w:hAnsiTheme="minorHAnsi" w:cstheme="minorHAnsi"/>
          <w:b/>
          <w:bCs/>
          <w:color w:val="212121"/>
          <w:sz w:val="22"/>
          <w:szCs w:val="22"/>
          <w:u w:val="single"/>
        </w:rPr>
        <w:t>uffolk Coastal District Council (SCDC)</w:t>
      </w:r>
      <w:r w:rsidRPr="00F84AFB">
        <w:rPr>
          <w:rFonts w:asciiTheme="minorHAnsi" w:hAnsiTheme="minorHAnsi" w:cstheme="minorHAnsi"/>
          <w:b/>
          <w:bCs/>
          <w:color w:val="212121"/>
          <w:sz w:val="22"/>
          <w:szCs w:val="22"/>
          <w:u w:val="single"/>
        </w:rPr>
        <w:t xml:space="preserve"> Draft Local Plan</w:t>
      </w:r>
    </w:p>
    <w:p w14:paraId="750B7D74" w14:textId="323E5D70" w:rsidR="004B7DDD" w:rsidRPr="00F84AFB" w:rsidRDefault="004B7DDD" w:rsidP="00B64044">
      <w:pPr>
        <w:contextualSpacing/>
        <w:rPr>
          <w:rFonts w:cstheme="minorHAnsi"/>
        </w:rPr>
      </w:pPr>
    </w:p>
    <w:p w14:paraId="1D934CF5" w14:textId="3149746D" w:rsidR="00612872" w:rsidRPr="00F84AFB" w:rsidRDefault="00612872" w:rsidP="00B64044">
      <w:pPr>
        <w:contextualSpacing/>
        <w:rPr>
          <w:rFonts w:cstheme="minorHAnsi"/>
        </w:rPr>
      </w:pPr>
      <w:r w:rsidRPr="00F84AFB">
        <w:rPr>
          <w:rFonts w:cstheme="minorHAnsi"/>
        </w:rPr>
        <w:t xml:space="preserve">We write concerning </w:t>
      </w:r>
      <w:r w:rsidR="00983B52" w:rsidRPr="00F84AFB">
        <w:rPr>
          <w:rFonts w:cstheme="minorHAnsi"/>
        </w:rPr>
        <w:t>SCDC</w:t>
      </w:r>
      <w:r w:rsidR="00804249" w:rsidRPr="00F84AFB">
        <w:rPr>
          <w:rFonts w:cstheme="minorHAnsi"/>
        </w:rPr>
        <w:t>’s</w:t>
      </w:r>
      <w:r w:rsidR="00983B52" w:rsidRPr="00F84AFB">
        <w:rPr>
          <w:rFonts w:cstheme="minorHAnsi"/>
        </w:rPr>
        <w:t xml:space="preserve"> Consultation</w:t>
      </w:r>
      <w:r w:rsidR="00EA7588" w:rsidRPr="00F84AFB">
        <w:rPr>
          <w:rFonts w:cstheme="minorHAnsi"/>
        </w:rPr>
        <w:t xml:space="preserve"> on the final draft of “The Suffolk Coastal Local Plan”</w:t>
      </w:r>
      <w:r w:rsidR="00336E2C" w:rsidRPr="00F84AFB">
        <w:rPr>
          <w:rFonts w:cstheme="minorHAnsi"/>
        </w:rPr>
        <w:t xml:space="preserve"> (“the Plan”)</w:t>
      </w:r>
      <w:r w:rsidR="00B6781E" w:rsidRPr="00F84AFB">
        <w:rPr>
          <w:rFonts w:cstheme="minorHAnsi"/>
        </w:rPr>
        <w:t>.  Our letter focusses on the lawfulness and soundness of the following policies</w:t>
      </w:r>
      <w:r w:rsidR="00942008" w:rsidRPr="00F84AFB">
        <w:rPr>
          <w:rFonts w:cstheme="minorHAnsi"/>
        </w:rPr>
        <w:t>:</w:t>
      </w:r>
    </w:p>
    <w:p w14:paraId="6A045143" w14:textId="42AE651C" w:rsidR="00942008" w:rsidRPr="00F84AFB" w:rsidRDefault="00942008" w:rsidP="00B64044">
      <w:pPr>
        <w:contextualSpacing/>
        <w:rPr>
          <w:rFonts w:cstheme="minorHAnsi"/>
        </w:rPr>
      </w:pPr>
    </w:p>
    <w:p w14:paraId="3769C0FC" w14:textId="62FDA498" w:rsidR="00942008" w:rsidRPr="00F84AFB" w:rsidRDefault="00942008" w:rsidP="00B64044">
      <w:pPr>
        <w:contextualSpacing/>
        <w:rPr>
          <w:rFonts w:cstheme="minorHAnsi"/>
        </w:rPr>
      </w:pPr>
      <w:r w:rsidRPr="00F84AFB">
        <w:rPr>
          <w:rFonts w:cstheme="minorHAnsi"/>
        </w:rPr>
        <w:t>SCLP</w:t>
      </w:r>
      <w:r w:rsidR="00F02E17" w:rsidRPr="00F84AFB">
        <w:rPr>
          <w:rFonts w:cstheme="minorHAnsi"/>
        </w:rPr>
        <w:t>12.35 – LAND AT INNOCENCE FARM</w:t>
      </w:r>
    </w:p>
    <w:p w14:paraId="37A04AA3" w14:textId="1B5C2CE1" w:rsidR="00F02E17" w:rsidRPr="00F84AFB" w:rsidRDefault="00F02E17" w:rsidP="00B64044">
      <w:pPr>
        <w:contextualSpacing/>
        <w:rPr>
          <w:rFonts w:cstheme="minorHAnsi"/>
        </w:rPr>
      </w:pPr>
    </w:p>
    <w:p w14:paraId="41F326E4" w14:textId="19B3EF32" w:rsidR="00E041B7" w:rsidRPr="00F84AFB" w:rsidRDefault="00E041B7" w:rsidP="00B64044">
      <w:pPr>
        <w:contextualSpacing/>
        <w:jc w:val="both"/>
        <w:rPr>
          <w:rFonts w:cstheme="minorHAnsi"/>
        </w:rPr>
      </w:pPr>
      <w:r w:rsidRPr="00F84AFB">
        <w:rPr>
          <w:rFonts w:cstheme="minorHAnsi"/>
        </w:rPr>
        <w:t>SCLP 12.65 – LAND OFF HOWLETT WAY – ALLOCATION CARRIED FORWARD FROM THE FELIXSTOWE PENISULAR ACTION PLAN – 360 DWELLINGS</w:t>
      </w:r>
    </w:p>
    <w:p w14:paraId="2827DF8E" w14:textId="77777777" w:rsidR="00E041B7" w:rsidRPr="00F84AFB" w:rsidRDefault="00E041B7" w:rsidP="00B64044">
      <w:pPr>
        <w:contextualSpacing/>
        <w:jc w:val="both"/>
        <w:rPr>
          <w:rFonts w:cstheme="minorHAnsi"/>
        </w:rPr>
      </w:pPr>
    </w:p>
    <w:p w14:paraId="1CB8258D" w14:textId="337A7E8C" w:rsidR="00E041B7" w:rsidRPr="00F84AFB" w:rsidRDefault="00E041B7" w:rsidP="00B64044">
      <w:pPr>
        <w:contextualSpacing/>
        <w:jc w:val="both"/>
        <w:rPr>
          <w:rFonts w:cstheme="minorHAnsi"/>
        </w:rPr>
      </w:pPr>
      <w:r w:rsidRPr="00F84AFB">
        <w:rPr>
          <w:rFonts w:cstheme="minorHAnsi"/>
        </w:rPr>
        <w:t>12.66 – LAND ADJACENT TO REEVE LODGE – 150 DWELLINGS AND TRIMLEY ST MARTIN PRIMARY SCHOOL FOR 400 STUDENTS</w:t>
      </w:r>
    </w:p>
    <w:p w14:paraId="7D55A004" w14:textId="58E8AD84" w:rsidR="0077014A" w:rsidRPr="00F84AFB" w:rsidRDefault="0077014A" w:rsidP="00B64044">
      <w:pPr>
        <w:contextualSpacing/>
        <w:jc w:val="both"/>
        <w:rPr>
          <w:rFonts w:cstheme="minorHAnsi"/>
        </w:rPr>
      </w:pPr>
    </w:p>
    <w:p w14:paraId="715588BA" w14:textId="4BF4E0CE" w:rsidR="0077014A" w:rsidRDefault="0077014A" w:rsidP="00B64044">
      <w:pPr>
        <w:contextualSpacing/>
        <w:jc w:val="both"/>
        <w:rPr>
          <w:rFonts w:cstheme="minorHAnsi"/>
        </w:rPr>
      </w:pPr>
      <w:r w:rsidRPr="00F84AFB">
        <w:rPr>
          <w:rFonts w:cstheme="minorHAnsi"/>
        </w:rPr>
        <w:t xml:space="preserve">In our view, there has been a failure to </w:t>
      </w:r>
      <w:r w:rsidR="00F84AFB">
        <w:rPr>
          <w:rFonts w:cstheme="minorHAnsi"/>
        </w:rPr>
        <w:t xml:space="preserve">properly </w:t>
      </w:r>
      <w:r w:rsidR="00D038E1" w:rsidRPr="00F84AFB">
        <w:rPr>
          <w:rFonts w:cstheme="minorHAnsi"/>
        </w:rPr>
        <w:t>co-operate</w:t>
      </w:r>
      <w:r w:rsidR="00021B98">
        <w:rPr>
          <w:rFonts w:cstheme="minorHAnsi"/>
        </w:rPr>
        <w:t xml:space="preserve"> and each of the proposals is fundamentally unsound</w:t>
      </w:r>
      <w:r w:rsidR="00796426">
        <w:rPr>
          <w:rFonts w:cstheme="minorHAnsi"/>
        </w:rPr>
        <w:t>.</w:t>
      </w:r>
    </w:p>
    <w:p w14:paraId="0C612471" w14:textId="05BFC238" w:rsidR="00796426" w:rsidRDefault="00796426" w:rsidP="00B64044">
      <w:pPr>
        <w:contextualSpacing/>
        <w:jc w:val="both"/>
        <w:rPr>
          <w:rFonts w:cstheme="minorHAnsi"/>
        </w:rPr>
      </w:pPr>
    </w:p>
    <w:p w14:paraId="1D9881C4" w14:textId="6D01025C" w:rsidR="00BA3216" w:rsidRPr="00BA3216" w:rsidRDefault="00BA3216" w:rsidP="00B64044">
      <w:pPr>
        <w:contextualSpacing/>
        <w:jc w:val="both"/>
        <w:rPr>
          <w:rFonts w:cstheme="minorHAnsi"/>
          <w:b/>
          <w:sz w:val="28"/>
          <w:szCs w:val="28"/>
        </w:rPr>
      </w:pPr>
      <w:r w:rsidRPr="00BA3216">
        <w:rPr>
          <w:rFonts w:cstheme="minorHAnsi"/>
          <w:b/>
          <w:sz w:val="28"/>
          <w:szCs w:val="28"/>
        </w:rPr>
        <w:t>Part I</w:t>
      </w:r>
    </w:p>
    <w:p w14:paraId="3E84B6A9" w14:textId="77777777" w:rsidR="00DD4C00" w:rsidRDefault="00DD4C00" w:rsidP="00B64044">
      <w:pPr>
        <w:contextualSpacing/>
        <w:jc w:val="both"/>
        <w:rPr>
          <w:rFonts w:cstheme="minorHAnsi"/>
          <w:b/>
          <w:u w:val="single"/>
        </w:rPr>
      </w:pPr>
    </w:p>
    <w:p w14:paraId="288A968B" w14:textId="662F455C" w:rsidR="00796426" w:rsidRPr="00796426" w:rsidRDefault="00796426" w:rsidP="00B64044">
      <w:pPr>
        <w:contextualSpacing/>
        <w:jc w:val="both"/>
        <w:rPr>
          <w:rFonts w:cstheme="minorHAnsi"/>
          <w:b/>
          <w:u w:val="single"/>
        </w:rPr>
      </w:pPr>
      <w:r w:rsidRPr="00796426">
        <w:rPr>
          <w:rFonts w:cstheme="minorHAnsi"/>
          <w:b/>
          <w:u w:val="single"/>
        </w:rPr>
        <w:t>SCLP12.35 – LAND AT INNOCENCE FARM</w:t>
      </w:r>
    </w:p>
    <w:p w14:paraId="49F0B501" w14:textId="77777777" w:rsidR="00B13095" w:rsidRDefault="00B13095" w:rsidP="00B64044">
      <w:pPr>
        <w:contextualSpacing/>
        <w:jc w:val="both"/>
        <w:rPr>
          <w:rFonts w:cstheme="minorHAnsi"/>
        </w:rPr>
      </w:pPr>
    </w:p>
    <w:p w14:paraId="6D1AC7EF" w14:textId="1643D288" w:rsidR="00B64044" w:rsidRDefault="00B13095" w:rsidP="00B64044">
      <w:pPr>
        <w:contextualSpacing/>
        <w:jc w:val="both"/>
        <w:rPr>
          <w:rFonts w:cstheme="minorHAnsi"/>
        </w:rPr>
      </w:pPr>
      <w:r>
        <w:rPr>
          <w:rFonts w:cstheme="minorHAnsi"/>
        </w:rPr>
        <w:t>SCDC have not fulfilled their duty to co-operate</w:t>
      </w:r>
    </w:p>
    <w:p w14:paraId="209C02EB" w14:textId="33AC3485" w:rsidR="00B64044" w:rsidRPr="005F7A65" w:rsidRDefault="002A18BF" w:rsidP="005F7A65">
      <w:pPr>
        <w:pStyle w:val="ListParagraph"/>
        <w:numPr>
          <w:ilvl w:val="0"/>
          <w:numId w:val="1"/>
        </w:numPr>
        <w:jc w:val="both"/>
        <w:rPr>
          <w:rFonts w:cstheme="minorHAnsi"/>
        </w:rPr>
      </w:pPr>
      <w:r w:rsidRPr="005F7A65">
        <w:rPr>
          <w:rFonts w:cstheme="minorHAnsi"/>
        </w:rPr>
        <w:t>There appears to have been no meaningful</w:t>
      </w:r>
      <w:r w:rsidR="00920658" w:rsidRPr="005F7A65">
        <w:rPr>
          <w:rFonts w:cstheme="minorHAnsi"/>
        </w:rPr>
        <w:t xml:space="preserve"> co-operation between neighbouring councils as evidenced by the minutes</w:t>
      </w:r>
      <w:r w:rsidR="003C790E" w:rsidRPr="005F7A65">
        <w:rPr>
          <w:rFonts w:cstheme="minorHAnsi"/>
        </w:rPr>
        <w:t xml:space="preserve"> of (</w:t>
      </w:r>
      <w:proofErr w:type="spellStart"/>
      <w:r w:rsidR="003C790E" w:rsidRPr="005F7A65">
        <w:rPr>
          <w:rFonts w:cstheme="minorHAnsi"/>
        </w:rPr>
        <w:t>i</w:t>
      </w:r>
      <w:proofErr w:type="spellEnd"/>
      <w:r w:rsidR="003C790E" w:rsidRPr="005F7A65">
        <w:rPr>
          <w:rFonts w:cstheme="minorHAnsi"/>
        </w:rPr>
        <w:t xml:space="preserve">) SCDC’s </w:t>
      </w:r>
      <w:r w:rsidR="001616D6" w:rsidRPr="005F7A65">
        <w:rPr>
          <w:rFonts w:cstheme="minorHAnsi"/>
        </w:rPr>
        <w:t>Local Plan Working Group or (ii) the Ipswich</w:t>
      </w:r>
      <w:r w:rsidR="004D088F" w:rsidRPr="005F7A65">
        <w:rPr>
          <w:rFonts w:cstheme="minorHAnsi"/>
        </w:rPr>
        <w:t xml:space="preserve"> Strategic Planning Area Forum</w:t>
      </w:r>
    </w:p>
    <w:p w14:paraId="7067ADCD" w14:textId="0D2DCAB0" w:rsidR="00103D2D" w:rsidRDefault="00103D2D" w:rsidP="00B64044">
      <w:pPr>
        <w:pStyle w:val="ListParagraph"/>
        <w:numPr>
          <w:ilvl w:val="0"/>
          <w:numId w:val="1"/>
        </w:numPr>
        <w:jc w:val="both"/>
        <w:rPr>
          <w:rFonts w:cstheme="minorHAnsi"/>
        </w:rPr>
      </w:pPr>
      <w:r>
        <w:rPr>
          <w:rFonts w:cstheme="minorHAnsi"/>
        </w:rPr>
        <w:t>The ‘Statement of</w:t>
      </w:r>
      <w:r w:rsidR="00577E89">
        <w:rPr>
          <w:rFonts w:cstheme="minorHAnsi"/>
        </w:rPr>
        <w:t xml:space="preserve"> Common Ground” in relation to </w:t>
      </w:r>
      <w:proofErr w:type="spellStart"/>
      <w:r w:rsidR="00D71409">
        <w:rPr>
          <w:rFonts w:cstheme="minorHAnsi"/>
        </w:rPr>
        <w:t>Lichfields</w:t>
      </w:r>
      <w:proofErr w:type="spellEnd"/>
      <w:r w:rsidR="00577E89">
        <w:rPr>
          <w:rFonts w:cstheme="minorHAnsi"/>
        </w:rPr>
        <w:t xml:space="preserve"> 2018</w:t>
      </w:r>
      <w:r w:rsidR="00033F99">
        <w:rPr>
          <w:rFonts w:cstheme="minorHAnsi"/>
        </w:rPr>
        <w:t xml:space="preserve"> Port Needs Study</w:t>
      </w:r>
      <w:r w:rsidR="001045C5">
        <w:rPr>
          <w:rFonts w:cstheme="minorHAnsi"/>
        </w:rPr>
        <w:t xml:space="preserve"> </w:t>
      </w:r>
      <w:r w:rsidR="001045C5">
        <w:t>(“the Study”)</w:t>
      </w:r>
      <w:r w:rsidR="00033F99">
        <w:rPr>
          <w:rFonts w:cstheme="minorHAnsi"/>
        </w:rPr>
        <w:t xml:space="preserve"> is superficial and meaningless</w:t>
      </w:r>
    </w:p>
    <w:p w14:paraId="0B1FE295" w14:textId="1CA2406E" w:rsidR="009800A7" w:rsidRDefault="001B28A0" w:rsidP="00766F64">
      <w:pPr>
        <w:pStyle w:val="ListParagraph"/>
        <w:numPr>
          <w:ilvl w:val="0"/>
          <w:numId w:val="1"/>
        </w:numPr>
      </w:pPr>
      <w:r w:rsidRPr="002813A9">
        <w:t xml:space="preserve">The Kirton and Trimley </w:t>
      </w:r>
      <w:r w:rsidR="004D6433" w:rsidRPr="002813A9">
        <w:t>Community Action Group</w:t>
      </w:r>
      <w:r w:rsidR="00766F64">
        <w:t xml:space="preserve"> (KATCAG)</w:t>
      </w:r>
      <w:r w:rsidR="004D6433" w:rsidRPr="002813A9">
        <w:t xml:space="preserve"> ha</w:t>
      </w:r>
      <w:r w:rsidR="008509B6">
        <w:t>s</w:t>
      </w:r>
      <w:r w:rsidR="004D6433" w:rsidRPr="002813A9">
        <w:t xml:space="preserve"> </w:t>
      </w:r>
      <w:r w:rsidR="00766F64">
        <w:t>made public</w:t>
      </w:r>
      <w:r w:rsidR="004D6433" w:rsidRPr="002813A9">
        <w:t xml:space="preserve"> a well-researched ‘Justification Annex’</w:t>
      </w:r>
      <w:r w:rsidR="008848EE" w:rsidRPr="002813A9">
        <w:t xml:space="preserve"> </w:t>
      </w:r>
      <w:r w:rsidR="004269E2" w:rsidRPr="002813A9">
        <w:t>providing ev</w:t>
      </w:r>
      <w:r w:rsidR="0047226A" w:rsidRPr="002813A9">
        <w:t xml:space="preserve">idence of many serious </w:t>
      </w:r>
      <w:r w:rsidR="007C1B9A" w:rsidRPr="002813A9">
        <w:t xml:space="preserve">flaws in the </w:t>
      </w:r>
      <w:r w:rsidR="0014419B">
        <w:t>Study</w:t>
      </w:r>
      <w:r w:rsidR="0098568E">
        <w:t xml:space="preserve"> </w:t>
      </w:r>
    </w:p>
    <w:p w14:paraId="65A9A10C" w14:textId="4EF164A7" w:rsidR="00766F64" w:rsidRDefault="009800A7" w:rsidP="00766F64">
      <w:pPr>
        <w:pStyle w:val="ListParagraph"/>
        <w:numPr>
          <w:ilvl w:val="0"/>
          <w:numId w:val="1"/>
        </w:numPr>
      </w:pPr>
      <w:r>
        <w:t xml:space="preserve">This </w:t>
      </w:r>
      <w:r w:rsidR="00FC5455">
        <w:t xml:space="preserve">credible </w:t>
      </w:r>
      <w:r w:rsidR="000836C0">
        <w:t xml:space="preserve">and important document </w:t>
      </w:r>
      <w:r w:rsidR="00FC5455">
        <w:t xml:space="preserve">concludes </w:t>
      </w:r>
      <w:r w:rsidR="000F0E5C">
        <w:t xml:space="preserve">the </w:t>
      </w:r>
      <w:r w:rsidR="000836C0">
        <w:t>Study is</w:t>
      </w:r>
      <w:r w:rsidR="00177FA2" w:rsidRPr="002813A9">
        <w:t xml:space="preserve"> fatally </w:t>
      </w:r>
      <w:r w:rsidR="00FD18D3">
        <w:t>flawed</w:t>
      </w:r>
      <w:r w:rsidR="00206C25" w:rsidRPr="002813A9">
        <w:t xml:space="preserve"> in respect of</w:t>
      </w:r>
    </w:p>
    <w:p w14:paraId="020D7AF5" w14:textId="77777777" w:rsidR="00766F64" w:rsidRDefault="00206C25" w:rsidP="00663734">
      <w:pPr>
        <w:pStyle w:val="ListParagraph"/>
        <w:numPr>
          <w:ilvl w:val="1"/>
          <w:numId w:val="1"/>
        </w:numPr>
      </w:pPr>
      <w:r w:rsidRPr="002813A9">
        <w:t>The need for an</w:t>
      </w:r>
      <w:r w:rsidR="005729A0" w:rsidRPr="002813A9">
        <w:t>y</w:t>
      </w:r>
      <w:r w:rsidRPr="002813A9">
        <w:t xml:space="preserve"> additional employment </w:t>
      </w:r>
      <w:r w:rsidR="005729A0" w:rsidRPr="002813A9">
        <w:t xml:space="preserve">land </w:t>
      </w:r>
      <w:r w:rsidRPr="002813A9">
        <w:t>allocation for port-related operations</w:t>
      </w:r>
      <w:r w:rsidR="002813A9">
        <w:t>,</w:t>
      </w:r>
      <w:r w:rsidR="00663734">
        <w:t xml:space="preserve"> </w:t>
      </w:r>
      <w:r w:rsidR="002813A9">
        <w:t xml:space="preserve">including the 69Ha </w:t>
      </w:r>
      <w:r w:rsidR="00D20D60">
        <w:t>already with planning permission</w:t>
      </w:r>
    </w:p>
    <w:p w14:paraId="7704C939" w14:textId="4A4BCB8D" w:rsidR="00206C25" w:rsidRDefault="00206C25" w:rsidP="00663734">
      <w:pPr>
        <w:pStyle w:val="ListParagraph"/>
        <w:numPr>
          <w:ilvl w:val="1"/>
          <w:numId w:val="1"/>
        </w:numPr>
      </w:pPr>
      <w:r w:rsidRPr="002813A9">
        <w:t>Innocence Farm being the only site suited to meet that need</w:t>
      </w:r>
    </w:p>
    <w:p w14:paraId="58CCB9FC" w14:textId="3FE2C027" w:rsidR="0098568E" w:rsidRPr="002813A9" w:rsidRDefault="002321F4" w:rsidP="00663734">
      <w:pPr>
        <w:pStyle w:val="ListParagraph"/>
        <w:numPr>
          <w:ilvl w:val="1"/>
          <w:numId w:val="1"/>
        </w:numPr>
      </w:pPr>
      <w:r>
        <w:t xml:space="preserve">Placing any reliance </w:t>
      </w:r>
      <w:r w:rsidR="002B66FB">
        <w:t>up</w:t>
      </w:r>
      <w:r>
        <w:t xml:space="preserve">on </w:t>
      </w:r>
      <w:r w:rsidR="00CC0D86">
        <w:t>the Study</w:t>
      </w:r>
      <w:r>
        <w:t xml:space="preserve"> as an evidence base</w:t>
      </w:r>
      <w:r w:rsidR="003C7547">
        <w:t xml:space="preserve"> </w:t>
      </w:r>
      <w:r w:rsidR="00CC0D86">
        <w:t>that</w:t>
      </w:r>
      <w:r w:rsidR="003C7547">
        <w:t xml:space="preserve"> support</w:t>
      </w:r>
      <w:r w:rsidR="00C51687">
        <w:t>s</w:t>
      </w:r>
      <w:r w:rsidR="003C7547">
        <w:t xml:space="preserve"> the Plan</w:t>
      </w:r>
    </w:p>
    <w:p w14:paraId="0AD1C34B" w14:textId="77777777" w:rsidR="007C0F9D" w:rsidRDefault="00F348C9" w:rsidP="00D20D60">
      <w:pPr>
        <w:pStyle w:val="ListParagraph"/>
        <w:numPr>
          <w:ilvl w:val="0"/>
          <w:numId w:val="1"/>
        </w:numPr>
        <w:ind w:hanging="357"/>
        <w:jc w:val="both"/>
        <w:rPr>
          <w:rFonts w:cstheme="minorHAnsi"/>
        </w:rPr>
      </w:pPr>
      <w:r>
        <w:rPr>
          <w:rFonts w:cstheme="minorHAnsi"/>
        </w:rPr>
        <w:lastRenderedPageBreak/>
        <w:t>The minutes of the Port Liaison Group</w:t>
      </w:r>
      <w:r w:rsidR="007E32CB">
        <w:rPr>
          <w:rFonts w:cstheme="minorHAnsi"/>
        </w:rPr>
        <w:t xml:space="preserve"> (Cross Boundary Working)</w:t>
      </w:r>
      <w:r w:rsidR="00D97A5D">
        <w:rPr>
          <w:rFonts w:cstheme="minorHAnsi"/>
        </w:rPr>
        <w:t xml:space="preserve"> noted the need for the officers to </w:t>
      </w:r>
      <w:r w:rsidR="00BB3CDC">
        <w:rPr>
          <w:rFonts w:cstheme="minorHAnsi"/>
        </w:rPr>
        <w:t>review their evidence with adjoining authorities</w:t>
      </w:r>
      <w:r w:rsidR="007C0F9D">
        <w:rPr>
          <w:rFonts w:cstheme="minorHAnsi"/>
        </w:rPr>
        <w:t xml:space="preserve"> and report back.  </w:t>
      </w:r>
    </w:p>
    <w:p w14:paraId="6E00C2B3" w14:textId="2E3A3A0D" w:rsidR="007C0F9D" w:rsidRDefault="007C0F9D" w:rsidP="00B64044">
      <w:pPr>
        <w:pStyle w:val="ListParagraph"/>
        <w:numPr>
          <w:ilvl w:val="0"/>
          <w:numId w:val="1"/>
        </w:numPr>
        <w:jc w:val="both"/>
        <w:rPr>
          <w:rFonts w:cstheme="minorHAnsi"/>
        </w:rPr>
      </w:pPr>
      <w:r>
        <w:rPr>
          <w:rFonts w:cstheme="minorHAnsi"/>
        </w:rPr>
        <w:t>There appears to have been no such report</w:t>
      </w:r>
    </w:p>
    <w:p w14:paraId="2CC04821" w14:textId="7CFD03AD" w:rsidR="00033F99" w:rsidRDefault="00F348C9" w:rsidP="00B64044">
      <w:pPr>
        <w:pStyle w:val="ListParagraph"/>
        <w:numPr>
          <w:ilvl w:val="0"/>
          <w:numId w:val="1"/>
        </w:numPr>
        <w:jc w:val="both"/>
        <w:rPr>
          <w:rFonts w:cstheme="minorHAnsi"/>
        </w:rPr>
      </w:pPr>
      <w:r>
        <w:rPr>
          <w:rFonts w:cstheme="minorHAnsi"/>
        </w:rPr>
        <w:t xml:space="preserve"> </w:t>
      </w:r>
      <w:r w:rsidR="00551384">
        <w:rPr>
          <w:rFonts w:cstheme="minorHAnsi"/>
        </w:rPr>
        <w:t>Subsequent minutes note the topic</w:t>
      </w:r>
      <w:r w:rsidR="00F54995">
        <w:rPr>
          <w:rFonts w:cstheme="minorHAnsi"/>
        </w:rPr>
        <w:t xml:space="preserve"> was not further discussed</w:t>
      </w:r>
    </w:p>
    <w:p w14:paraId="0454F43C" w14:textId="1163E240" w:rsidR="00B63BAC" w:rsidRDefault="000069D2" w:rsidP="00B64044">
      <w:pPr>
        <w:pStyle w:val="ListParagraph"/>
        <w:numPr>
          <w:ilvl w:val="0"/>
          <w:numId w:val="1"/>
        </w:numPr>
        <w:jc w:val="both"/>
        <w:rPr>
          <w:rFonts w:cstheme="minorHAnsi"/>
        </w:rPr>
      </w:pPr>
      <w:r>
        <w:rPr>
          <w:rFonts w:cstheme="minorHAnsi"/>
        </w:rPr>
        <w:t>SCDC appears to have ignored</w:t>
      </w:r>
      <w:r w:rsidR="000B4185">
        <w:rPr>
          <w:rFonts w:cstheme="minorHAnsi"/>
        </w:rPr>
        <w:t xml:space="preserve"> paragraph 4.38 of its own evidence base that makes clear</w:t>
      </w:r>
      <w:r w:rsidR="000D338C">
        <w:rPr>
          <w:rFonts w:cstheme="minorHAnsi"/>
        </w:rPr>
        <w:t xml:space="preserve"> land may be needed away from </w:t>
      </w:r>
      <w:r w:rsidR="00B63BAC">
        <w:rPr>
          <w:rFonts w:cstheme="minorHAnsi"/>
        </w:rPr>
        <w:t>the Port, not necessarily within the SCDC area</w:t>
      </w:r>
    </w:p>
    <w:p w14:paraId="11830FBE" w14:textId="6BDFD0AA" w:rsidR="00F54995" w:rsidRDefault="00D24FA5" w:rsidP="00B64044">
      <w:pPr>
        <w:pStyle w:val="ListParagraph"/>
        <w:numPr>
          <w:ilvl w:val="0"/>
          <w:numId w:val="1"/>
        </w:numPr>
        <w:jc w:val="both"/>
        <w:rPr>
          <w:rFonts w:cstheme="minorHAnsi"/>
        </w:rPr>
      </w:pPr>
      <w:r>
        <w:rPr>
          <w:rFonts w:cstheme="minorHAnsi"/>
        </w:rPr>
        <w:t xml:space="preserve">The evidence base </w:t>
      </w:r>
      <w:r w:rsidR="005C5459">
        <w:rPr>
          <w:rFonts w:cstheme="minorHAnsi"/>
        </w:rPr>
        <w:t>fails to refer to any</w:t>
      </w:r>
      <w:r w:rsidR="00205D31">
        <w:rPr>
          <w:rFonts w:cstheme="minorHAnsi"/>
        </w:rPr>
        <w:t xml:space="preserve"> further discussion with neighbouring authorities</w:t>
      </w:r>
      <w:r w:rsidR="00DE4C20">
        <w:rPr>
          <w:rFonts w:cstheme="minorHAnsi"/>
        </w:rPr>
        <w:t xml:space="preserve"> as to the availability of </w:t>
      </w:r>
      <w:r w:rsidR="007E0E45">
        <w:rPr>
          <w:rFonts w:cstheme="minorHAnsi"/>
        </w:rPr>
        <w:t xml:space="preserve">many </w:t>
      </w:r>
      <w:r w:rsidR="00DE4C20">
        <w:rPr>
          <w:rFonts w:cstheme="minorHAnsi"/>
        </w:rPr>
        <w:t xml:space="preserve">sites along the </w:t>
      </w:r>
      <w:r w:rsidR="0002475C">
        <w:rPr>
          <w:rFonts w:cstheme="minorHAnsi"/>
        </w:rPr>
        <w:t>A14 / A12 corridor considered suitable for Port-related use</w:t>
      </w:r>
      <w:r w:rsidR="007E0E45">
        <w:rPr>
          <w:rFonts w:cstheme="minorHAnsi"/>
        </w:rPr>
        <w:t>.</w:t>
      </w:r>
    </w:p>
    <w:p w14:paraId="61DA385F" w14:textId="06E68F12" w:rsidR="007E0E45" w:rsidRDefault="007E0E45" w:rsidP="00B64044">
      <w:pPr>
        <w:pStyle w:val="ListParagraph"/>
        <w:numPr>
          <w:ilvl w:val="0"/>
          <w:numId w:val="1"/>
        </w:numPr>
        <w:jc w:val="both"/>
        <w:rPr>
          <w:rFonts w:cstheme="minorHAnsi"/>
        </w:rPr>
      </w:pPr>
      <w:r>
        <w:rPr>
          <w:rFonts w:cstheme="minorHAnsi"/>
        </w:rPr>
        <w:t>Several of these sites, already with permission for Port-related developments</w:t>
      </w:r>
      <w:r w:rsidR="006441E8">
        <w:rPr>
          <w:rFonts w:cstheme="minorHAnsi"/>
        </w:rPr>
        <w:t>, appear not to have been discussed, nor seriously considered.</w:t>
      </w:r>
    </w:p>
    <w:p w14:paraId="7B6FB102" w14:textId="56879C09" w:rsidR="006441E8" w:rsidRDefault="009745FC" w:rsidP="00B64044">
      <w:pPr>
        <w:pStyle w:val="ListParagraph"/>
        <w:numPr>
          <w:ilvl w:val="0"/>
          <w:numId w:val="1"/>
        </w:numPr>
        <w:jc w:val="both"/>
        <w:rPr>
          <w:rFonts w:cstheme="minorHAnsi"/>
        </w:rPr>
      </w:pPr>
      <w:r>
        <w:rPr>
          <w:rFonts w:cstheme="minorHAnsi"/>
        </w:rPr>
        <w:t>Th</w:t>
      </w:r>
      <w:r w:rsidR="00466C09">
        <w:rPr>
          <w:rFonts w:cstheme="minorHAnsi"/>
        </w:rPr>
        <w:t>e cur</w:t>
      </w:r>
      <w:r w:rsidR="00D95FED">
        <w:rPr>
          <w:rFonts w:cstheme="minorHAnsi"/>
        </w:rPr>
        <w:t>rent</w:t>
      </w:r>
      <w:r>
        <w:rPr>
          <w:rFonts w:cstheme="minorHAnsi"/>
        </w:rPr>
        <w:t xml:space="preserve"> failure to co-operate contrasts starkly with the consultation that took place ahead of </w:t>
      </w:r>
      <w:r w:rsidR="00466C09">
        <w:rPr>
          <w:rFonts w:cstheme="minorHAnsi"/>
        </w:rPr>
        <w:t>publication of the 2008 Study</w:t>
      </w:r>
    </w:p>
    <w:p w14:paraId="7D9AABFF" w14:textId="77777777" w:rsidR="00BC1E29" w:rsidRDefault="00E36CC5" w:rsidP="00B64044">
      <w:pPr>
        <w:pStyle w:val="ListParagraph"/>
        <w:numPr>
          <w:ilvl w:val="0"/>
          <w:numId w:val="1"/>
        </w:numPr>
        <w:jc w:val="both"/>
        <w:rPr>
          <w:rFonts w:cstheme="minorHAnsi"/>
        </w:rPr>
      </w:pPr>
      <w:r>
        <w:rPr>
          <w:rFonts w:cstheme="minorHAnsi"/>
        </w:rPr>
        <w:t>The evidence base makes clear</w:t>
      </w:r>
      <w:r w:rsidR="00432D91">
        <w:rPr>
          <w:rFonts w:cstheme="minorHAnsi"/>
        </w:rPr>
        <w:t xml:space="preserve"> sites within 30 miles of the Port would be suitable for the Port’s need</w:t>
      </w:r>
      <w:r w:rsidR="00BC1E29">
        <w:rPr>
          <w:rFonts w:cstheme="minorHAnsi"/>
        </w:rPr>
        <w:t>s</w:t>
      </w:r>
    </w:p>
    <w:p w14:paraId="2B79F6B6" w14:textId="3668AC8F" w:rsidR="008B078A" w:rsidRDefault="008B078A" w:rsidP="00B64044">
      <w:pPr>
        <w:pStyle w:val="ListParagraph"/>
        <w:numPr>
          <w:ilvl w:val="0"/>
          <w:numId w:val="1"/>
        </w:numPr>
        <w:jc w:val="both"/>
        <w:rPr>
          <w:rFonts w:cstheme="minorHAnsi"/>
        </w:rPr>
      </w:pPr>
      <w:r>
        <w:rPr>
          <w:rFonts w:cstheme="minorHAnsi"/>
        </w:rPr>
        <w:t>The 2018 Study appears heavily weighted in favour</w:t>
      </w:r>
      <w:r w:rsidR="00BC1E29">
        <w:rPr>
          <w:rFonts w:cstheme="minorHAnsi"/>
        </w:rPr>
        <w:t xml:space="preserve"> of the principal landowner</w:t>
      </w:r>
      <w:r w:rsidR="00742C25">
        <w:rPr>
          <w:rFonts w:cstheme="minorHAnsi"/>
        </w:rPr>
        <w:t xml:space="preserve"> by</w:t>
      </w:r>
    </w:p>
    <w:p w14:paraId="0B258EDF" w14:textId="77777777" w:rsidR="00284434" w:rsidRDefault="00284434" w:rsidP="00284434">
      <w:pPr>
        <w:pStyle w:val="ListParagraph"/>
        <w:numPr>
          <w:ilvl w:val="1"/>
          <w:numId w:val="1"/>
        </w:numPr>
        <w:jc w:val="both"/>
        <w:rPr>
          <w:rFonts w:cstheme="minorHAnsi"/>
        </w:rPr>
      </w:pPr>
      <w:r>
        <w:rPr>
          <w:rFonts w:cstheme="minorHAnsi"/>
        </w:rPr>
        <w:t>calling for sites within 10 miles of the Port e.g. within the SCDC area, in the main</w:t>
      </w:r>
    </w:p>
    <w:p w14:paraId="3AE6C2B9" w14:textId="2907F06E" w:rsidR="00284434" w:rsidRDefault="00284434" w:rsidP="00284434">
      <w:pPr>
        <w:pStyle w:val="ListParagraph"/>
        <w:numPr>
          <w:ilvl w:val="1"/>
          <w:numId w:val="1"/>
        </w:numPr>
        <w:jc w:val="both"/>
        <w:rPr>
          <w:rFonts w:cstheme="minorHAnsi"/>
        </w:rPr>
      </w:pPr>
      <w:r>
        <w:rPr>
          <w:rFonts w:cstheme="minorHAnsi"/>
        </w:rPr>
        <w:t xml:space="preserve">only involving local stakeholders </w:t>
      </w:r>
      <w:r w:rsidR="005A7ACA">
        <w:rPr>
          <w:rFonts w:cstheme="minorHAnsi"/>
        </w:rPr>
        <w:t xml:space="preserve">and local entities </w:t>
      </w:r>
      <w:r>
        <w:rPr>
          <w:rFonts w:cstheme="minorHAnsi"/>
        </w:rPr>
        <w:t>in the initial consultation</w:t>
      </w:r>
    </w:p>
    <w:p w14:paraId="309F8700" w14:textId="20DFB31F" w:rsidR="00987BD3" w:rsidRPr="00B64044" w:rsidRDefault="00987BD3" w:rsidP="00284434">
      <w:pPr>
        <w:pStyle w:val="ListParagraph"/>
        <w:numPr>
          <w:ilvl w:val="1"/>
          <w:numId w:val="1"/>
        </w:numPr>
        <w:jc w:val="both"/>
        <w:rPr>
          <w:rFonts w:cstheme="minorHAnsi"/>
        </w:rPr>
      </w:pPr>
      <w:r>
        <w:rPr>
          <w:rFonts w:cstheme="minorHAnsi"/>
        </w:rPr>
        <w:t>failing to make enquiries</w:t>
      </w:r>
      <w:r w:rsidR="00AD40A2">
        <w:rPr>
          <w:rFonts w:cstheme="minorHAnsi"/>
        </w:rPr>
        <w:t xml:space="preserve"> of neighbouring councils</w:t>
      </w:r>
      <w:r w:rsidR="00C57981">
        <w:rPr>
          <w:rFonts w:cstheme="minorHAnsi"/>
        </w:rPr>
        <w:t xml:space="preserve">, thereby breaching further their duty to co-operate </w:t>
      </w:r>
    </w:p>
    <w:p w14:paraId="68B0BF24" w14:textId="394FDFA0" w:rsidR="00284434" w:rsidRDefault="00466EFE" w:rsidP="00B64044">
      <w:pPr>
        <w:pStyle w:val="ListParagraph"/>
        <w:numPr>
          <w:ilvl w:val="0"/>
          <w:numId w:val="1"/>
        </w:numPr>
        <w:jc w:val="both"/>
        <w:rPr>
          <w:rFonts w:cstheme="minorHAnsi"/>
        </w:rPr>
      </w:pPr>
      <w:r>
        <w:rPr>
          <w:rFonts w:cstheme="minorHAnsi"/>
        </w:rPr>
        <w:t xml:space="preserve">SCDC have, in effect, constructed a brief </w:t>
      </w:r>
      <w:r w:rsidR="00736052">
        <w:rPr>
          <w:rFonts w:cstheme="minorHAnsi"/>
        </w:rPr>
        <w:t>for the</w:t>
      </w:r>
      <w:r>
        <w:rPr>
          <w:rFonts w:cstheme="minorHAnsi"/>
        </w:rPr>
        <w:t>ir</w:t>
      </w:r>
      <w:r w:rsidR="00736052">
        <w:rPr>
          <w:rFonts w:cstheme="minorHAnsi"/>
        </w:rPr>
        <w:t xml:space="preserve"> ‘evidence base’ consultants </w:t>
      </w:r>
      <w:r w:rsidR="008501BE">
        <w:rPr>
          <w:rFonts w:cstheme="minorHAnsi"/>
        </w:rPr>
        <w:t>that goes</w:t>
      </w:r>
      <w:r w:rsidR="00736052">
        <w:rPr>
          <w:rFonts w:cstheme="minorHAnsi"/>
        </w:rPr>
        <w:t xml:space="preserve"> a long way to</w:t>
      </w:r>
      <w:r w:rsidR="00FC0CC3">
        <w:rPr>
          <w:rFonts w:cstheme="minorHAnsi"/>
        </w:rPr>
        <w:t xml:space="preserve"> </w:t>
      </w:r>
      <w:r w:rsidR="0031336B">
        <w:rPr>
          <w:rFonts w:cstheme="minorHAnsi"/>
        </w:rPr>
        <w:t>ensuring</w:t>
      </w:r>
      <w:r w:rsidR="00125508">
        <w:rPr>
          <w:rFonts w:cstheme="minorHAnsi"/>
        </w:rPr>
        <w:t xml:space="preserve"> their pre-determination to claim the Innocence Farm site</w:t>
      </w:r>
      <w:r w:rsidR="00533021">
        <w:rPr>
          <w:rFonts w:cstheme="minorHAnsi"/>
        </w:rPr>
        <w:t>, whatever the true evidence!</w:t>
      </w:r>
    </w:p>
    <w:p w14:paraId="449CD554" w14:textId="1FBF22CB" w:rsidR="004D7907" w:rsidRDefault="006934F3" w:rsidP="00F766FC">
      <w:pPr>
        <w:ind w:left="360"/>
        <w:jc w:val="both"/>
        <w:rPr>
          <w:rFonts w:cstheme="minorHAnsi"/>
        </w:rPr>
      </w:pPr>
      <w:r>
        <w:rPr>
          <w:rFonts w:cstheme="minorHAnsi"/>
        </w:rPr>
        <w:t>It is contended</w:t>
      </w:r>
      <w:r w:rsidR="00575D68">
        <w:rPr>
          <w:rFonts w:cstheme="minorHAnsi"/>
        </w:rPr>
        <w:t xml:space="preserve"> SCDC’s failure to co-operate renders the Plan unlawful</w:t>
      </w:r>
      <w:r w:rsidR="004D7907">
        <w:rPr>
          <w:rFonts w:cstheme="minorHAnsi"/>
        </w:rPr>
        <w:t>.</w:t>
      </w:r>
    </w:p>
    <w:p w14:paraId="7F59C060" w14:textId="06D7776E" w:rsidR="00BE64BC" w:rsidRDefault="00DF4F65" w:rsidP="00CF2DDE">
      <w:pPr>
        <w:ind w:left="360"/>
        <w:jc w:val="both"/>
        <w:rPr>
          <w:rFonts w:cstheme="minorHAnsi"/>
        </w:rPr>
      </w:pPr>
      <w:r>
        <w:rPr>
          <w:rFonts w:cstheme="minorHAnsi"/>
        </w:rPr>
        <w:t xml:space="preserve">It is further contended </w:t>
      </w:r>
      <w:r w:rsidR="006F5A85">
        <w:rPr>
          <w:rFonts w:cstheme="minorHAnsi"/>
        </w:rPr>
        <w:t xml:space="preserve">SCLP12.35 </w:t>
      </w:r>
      <w:r>
        <w:rPr>
          <w:rFonts w:cstheme="minorHAnsi"/>
        </w:rPr>
        <w:t>fails to meet</w:t>
      </w:r>
      <w:r w:rsidR="006838FC">
        <w:rPr>
          <w:rFonts w:cstheme="minorHAnsi"/>
        </w:rPr>
        <w:t xml:space="preserve"> the tests of a sound plan.</w:t>
      </w:r>
      <w:r w:rsidR="0057359D">
        <w:rPr>
          <w:rFonts w:cstheme="minorHAnsi"/>
        </w:rPr>
        <w:t xml:space="preserve">  It is NOT (</w:t>
      </w:r>
      <w:proofErr w:type="spellStart"/>
      <w:r w:rsidR="0057359D">
        <w:rPr>
          <w:rFonts w:cstheme="minorHAnsi"/>
        </w:rPr>
        <w:t>i</w:t>
      </w:r>
      <w:proofErr w:type="spellEnd"/>
      <w:r w:rsidR="0057359D">
        <w:rPr>
          <w:rFonts w:cstheme="minorHAnsi"/>
        </w:rPr>
        <w:t xml:space="preserve">) </w:t>
      </w:r>
      <w:r w:rsidR="008276A4">
        <w:rPr>
          <w:rFonts w:cstheme="minorHAnsi"/>
        </w:rPr>
        <w:t>P</w:t>
      </w:r>
      <w:r w:rsidR="0057359D">
        <w:rPr>
          <w:rFonts w:cstheme="minorHAnsi"/>
        </w:rPr>
        <w:t xml:space="preserve">ositively </w:t>
      </w:r>
      <w:r w:rsidR="008276A4">
        <w:rPr>
          <w:rFonts w:cstheme="minorHAnsi"/>
        </w:rPr>
        <w:t>P</w:t>
      </w:r>
      <w:r w:rsidR="0057359D">
        <w:rPr>
          <w:rFonts w:cstheme="minorHAnsi"/>
        </w:rPr>
        <w:t>repared (ii)</w:t>
      </w:r>
      <w:r w:rsidR="00922A08">
        <w:rPr>
          <w:rFonts w:cstheme="minorHAnsi"/>
        </w:rPr>
        <w:t xml:space="preserve"> Justified (iii)</w:t>
      </w:r>
      <w:r w:rsidR="008276A4">
        <w:rPr>
          <w:rFonts w:cstheme="minorHAnsi"/>
        </w:rPr>
        <w:t xml:space="preserve"> Effective</w:t>
      </w:r>
      <w:r w:rsidR="00A616F6">
        <w:rPr>
          <w:rFonts w:cstheme="minorHAnsi"/>
        </w:rPr>
        <w:t xml:space="preserve"> or (iv) Consistent </w:t>
      </w:r>
      <w:proofErr w:type="gramStart"/>
      <w:r w:rsidR="00A616F6">
        <w:rPr>
          <w:rFonts w:cstheme="minorHAnsi"/>
        </w:rPr>
        <w:t>With</w:t>
      </w:r>
      <w:proofErr w:type="gramEnd"/>
      <w:r w:rsidR="00A616F6">
        <w:rPr>
          <w:rFonts w:cstheme="minorHAnsi"/>
        </w:rPr>
        <w:t xml:space="preserve"> The NPPF </w:t>
      </w:r>
      <w:r w:rsidR="004338F4">
        <w:rPr>
          <w:rFonts w:cstheme="minorHAnsi"/>
        </w:rPr>
        <w:t>2018 Guidelines</w:t>
      </w:r>
      <w:r w:rsidR="00BE64BC">
        <w:rPr>
          <w:rFonts w:cstheme="minorHAnsi"/>
        </w:rPr>
        <w:t xml:space="preserve">.  To support this statement – </w:t>
      </w:r>
    </w:p>
    <w:p w14:paraId="00317388" w14:textId="3B911E35" w:rsidR="00BE64BC" w:rsidRPr="00417E6B" w:rsidRDefault="00BE64BC" w:rsidP="00417E6B">
      <w:pPr>
        <w:pStyle w:val="ListParagraph"/>
        <w:numPr>
          <w:ilvl w:val="0"/>
          <w:numId w:val="3"/>
        </w:numPr>
        <w:ind w:left="709" w:hanging="709"/>
        <w:jc w:val="both"/>
        <w:rPr>
          <w:rFonts w:cstheme="minorHAnsi"/>
          <w:u w:val="single"/>
        </w:rPr>
      </w:pPr>
      <w:r w:rsidRPr="00417E6B">
        <w:rPr>
          <w:rFonts w:cstheme="minorHAnsi"/>
          <w:u w:val="single"/>
        </w:rPr>
        <w:t xml:space="preserve">It is NOT </w:t>
      </w:r>
      <w:r w:rsidR="00696154">
        <w:rPr>
          <w:rFonts w:cstheme="minorHAnsi"/>
          <w:u w:val="single"/>
        </w:rPr>
        <w:t>“</w:t>
      </w:r>
      <w:r w:rsidR="0075337E" w:rsidRPr="00417E6B">
        <w:rPr>
          <w:rFonts w:cstheme="minorHAnsi"/>
          <w:u w:val="single"/>
        </w:rPr>
        <w:t>Positively Prepared</w:t>
      </w:r>
      <w:r w:rsidR="00696154">
        <w:rPr>
          <w:rFonts w:cstheme="minorHAnsi"/>
          <w:u w:val="single"/>
        </w:rPr>
        <w:t>”</w:t>
      </w:r>
      <w:r w:rsidR="0075337E" w:rsidRPr="00417E6B">
        <w:rPr>
          <w:rFonts w:cstheme="minorHAnsi"/>
          <w:u w:val="single"/>
        </w:rPr>
        <w:t xml:space="preserve"> because:</w:t>
      </w:r>
    </w:p>
    <w:p w14:paraId="3CE0ACED" w14:textId="77777777" w:rsidR="00C52889" w:rsidRDefault="00C52889" w:rsidP="00C52889">
      <w:pPr>
        <w:pStyle w:val="ListParagraph"/>
        <w:ind w:left="1080"/>
        <w:jc w:val="both"/>
        <w:rPr>
          <w:rFonts w:cstheme="minorHAnsi"/>
        </w:rPr>
      </w:pPr>
    </w:p>
    <w:p w14:paraId="0CC80728" w14:textId="2790C625" w:rsidR="0075337E" w:rsidRDefault="00223195" w:rsidP="00CF2DDE">
      <w:pPr>
        <w:pStyle w:val="ListParagraph"/>
        <w:numPr>
          <w:ilvl w:val="0"/>
          <w:numId w:val="2"/>
        </w:numPr>
        <w:jc w:val="both"/>
        <w:rPr>
          <w:rFonts w:cstheme="minorHAnsi"/>
        </w:rPr>
      </w:pPr>
      <w:r>
        <w:rPr>
          <w:rFonts w:cstheme="minorHAnsi"/>
        </w:rPr>
        <w:t>The</w:t>
      </w:r>
      <w:r w:rsidR="003A613C">
        <w:rPr>
          <w:rFonts w:cstheme="minorHAnsi"/>
        </w:rPr>
        <w:t xml:space="preserve"> </w:t>
      </w:r>
      <w:r w:rsidR="003750D3">
        <w:rPr>
          <w:rFonts w:cstheme="minorHAnsi"/>
        </w:rPr>
        <w:t>estimate</w:t>
      </w:r>
      <w:r w:rsidR="002E4D30">
        <w:rPr>
          <w:rFonts w:cstheme="minorHAnsi"/>
        </w:rPr>
        <w:t xml:space="preserve"> of </w:t>
      </w:r>
      <w:r w:rsidR="00EB54A8">
        <w:rPr>
          <w:rFonts w:cstheme="minorHAnsi"/>
        </w:rPr>
        <w:t>several thousand jobs resulting from</w:t>
      </w:r>
    </w:p>
    <w:p w14:paraId="780E4FAE" w14:textId="77777777" w:rsidR="00997278" w:rsidRDefault="00997278" w:rsidP="00997278">
      <w:pPr>
        <w:pStyle w:val="ListParagraph"/>
        <w:ind w:left="1080"/>
        <w:jc w:val="both"/>
        <w:rPr>
          <w:rFonts w:cstheme="minorHAnsi"/>
        </w:rPr>
      </w:pPr>
    </w:p>
    <w:p w14:paraId="54409202" w14:textId="77777777" w:rsidR="0088014A" w:rsidRDefault="0088014A" w:rsidP="0088014A">
      <w:pPr>
        <w:pStyle w:val="ListParagraph"/>
        <w:numPr>
          <w:ilvl w:val="1"/>
          <w:numId w:val="2"/>
        </w:numPr>
        <w:jc w:val="both"/>
        <w:rPr>
          <w:rFonts w:cstheme="minorHAnsi"/>
        </w:rPr>
      </w:pPr>
      <w:r>
        <w:rPr>
          <w:rFonts w:cstheme="minorHAnsi"/>
        </w:rPr>
        <w:t>Growth of the Port of Felixstowe and the need to provide additional land</w:t>
      </w:r>
    </w:p>
    <w:p w14:paraId="4C2E3C07" w14:textId="112985A5" w:rsidR="0088014A" w:rsidRDefault="0088014A" w:rsidP="0088014A">
      <w:pPr>
        <w:pStyle w:val="ListParagraph"/>
        <w:numPr>
          <w:ilvl w:val="1"/>
          <w:numId w:val="2"/>
        </w:numPr>
        <w:jc w:val="both"/>
        <w:rPr>
          <w:rFonts w:cstheme="minorHAnsi"/>
        </w:rPr>
      </w:pPr>
      <w:r>
        <w:rPr>
          <w:rFonts w:cstheme="minorHAnsi"/>
        </w:rPr>
        <w:t xml:space="preserve">Additional jobs arising from BT and the </w:t>
      </w:r>
      <w:proofErr w:type="spellStart"/>
      <w:r>
        <w:rPr>
          <w:rFonts w:cstheme="minorHAnsi"/>
        </w:rPr>
        <w:t>Adastral</w:t>
      </w:r>
      <w:proofErr w:type="spellEnd"/>
      <w:r>
        <w:rPr>
          <w:rFonts w:cstheme="minorHAnsi"/>
        </w:rPr>
        <w:t xml:space="preserve"> Business Park</w:t>
      </w:r>
    </w:p>
    <w:p w14:paraId="24C1C890" w14:textId="77777777" w:rsidR="0088014A" w:rsidRDefault="0088014A" w:rsidP="0088014A">
      <w:pPr>
        <w:pStyle w:val="ListParagraph"/>
        <w:numPr>
          <w:ilvl w:val="1"/>
          <w:numId w:val="2"/>
        </w:numPr>
        <w:jc w:val="both"/>
        <w:rPr>
          <w:rFonts w:cstheme="minorHAnsi"/>
        </w:rPr>
      </w:pPr>
      <w:r>
        <w:rPr>
          <w:rFonts w:cstheme="minorHAnsi"/>
        </w:rPr>
        <w:t>The needs of Sizewell C</w:t>
      </w:r>
    </w:p>
    <w:p w14:paraId="393804FE" w14:textId="2324A93A" w:rsidR="0088014A" w:rsidRDefault="0088014A" w:rsidP="0088014A">
      <w:pPr>
        <w:pStyle w:val="ListParagraph"/>
        <w:numPr>
          <w:ilvl w:val="1"/>
          <w:numId w:val="2"/>
        </w:numPr>
        <w:jc w:val="both"/>
        <w:rPr>
          <w:rFonts w:cstheme="minorHAnsi"/>
        </w:rPr>
      </w:pPr>
      <w:r>
        <w:rPr>
          <w:rFonts w:cstheme="minorHAnsi"/>
        </w:rPr>
        <w:t>The growth of small / medium-size new businesses in the area</w:t>
      </w:r>
    </w:p>
    <w:p w14:paraId="507CD47C" w14:textId="6E3F84C8" w:rsidR="00165EB9" w:rsidRDefault="00165EB9" w:rsidP="0084299D">
      <w:pPr>
        <w:ind w:left="720" w:firstLine="414"/>
        <w:jc w:val="both"/>
        <w:rPr>
          <w:rFonts w:cstheme="minorHAnsi"/>
        </w:rPr>
      </w:pPr>
      <w:r>
        <w:rPr>
          <w:rFonts w:cstheme="minorHAnsi"/>
        </w:rPr>
        <w:t xml:space="preserve">Is demonstrably unrealistic.  </w:t>
      </w:r>
      <w:r w:rsidR="00434CD3">
        <w:rPr>
          <w:rFonts w:cstheme="minorHAnsi"/>
        </w:rPr>
        <w:t>The reality is</w:t>
      </w:r>
    </w:p>
    <w:p w14:paraId="4CD70AE0" w14:textId="2AE6C897" w:rsidR="00DB1CC6" w:rsidRDefault="00405A07" w:rsidP="0084299D">
      <w:pPr>
        <w:pStyle w:val="ListParagraph"/>
        <w:numPr>
          <w:ilvl w:val="1"/>
          <w:numId w:val="2"/>
        </w:numPr>
        <w:jc w:val="both"/>
        <w:rPr>
          <w:rFonts w:cstheme="minorHAnsi"/>
        </w:rPr>
      </w:pPr>
      <w:r>
        <w:rPr>
          <w:rFonts w:cstheme="minorHAnsi"/>
        </w:rPr>
        <w:t xml:space="preserve">No data </w:t>
      </w:r>
      <w:r w:rsidR="00431920">
        <w:rPr>
          <w:rFonts w:cstheme="minorHAnsi"/>
        </w:rPr>
        <w:t>is</w:t>
      </w:r>
      <w:r>
        <w:rPr>
          <w:rFonts w:cstheme="minorHAnsi"/>
        </w:rPr>
        <w:t xml:space="preserve"> offered </w:t>
      </w:r>
      <w:r w:rsidR="00431920">
        <w:rPr>
          <w:rFonts w:cstheme="minorHAnsi"/>
        </w:rPr>
        <w:t>within</w:t>
      </w:r>
      <w:r>
        <w:rPr>
          <w:rFonts w:cstheme="minorHAnsi"/>
        </w:rPr>
        <w:t xml:space="preserve"> the evidence base</w:t>
      </w:r>
      <w:r w:rsidR="00F95EFF">
        <w:rPr>
          <w:rFonts w:cstheme="minorHAnsi"/>
        </w:rPr>
        <w:t xml:space="preserve"> to support the contention Felixstowe will retain</w:t>
      </w:r>
      <w:r w:rsidR="00DF7A6A">
        <w:rPr>
          <w:rFonts w:cstheme="minorHAnsi"/>
        </w:rPr>
        <w:t xml:space="preserve"> its current share of TEU volumes</w:t>
      </w:r>
    </w:p>
    <w:p w14:paraId="3033F4BC" w14:textId="120B0BF9" w:rsidR="0088014A" w:rsidRDefault="00B85AEB" w:rsidP="0084299D">
      <w:pPr>
        <w:pStyle w:val="ListParagraph"/>
        <w:numPr>
          <w:ilvl w:val="1"/>
          <w:numId w:val="2"/>
        </w:numPr>
        <w:jc w:val="both"/>
        <w:rPr>
          <w:rFonts w:cstheme="minorHAnsi"/>
        </w:rPr>
      </w:pPr>
      <w:r>
        <w:rPr>
          <w:rFonts w:cstheme="minorHAnsi"/>
        </w:rPr>
        <w:t>As predicted in several recent Government publications</w:t>
      </w:r>
      <w:r w:rsidR="00A87358">
        <w:rPr>
          <w:rFonts w:cstheme="minorHAnsi"/>
        </w:rPr>
        <w:t>, the Port of Felixstowe appears to have entered a period of decline</w:t>
      </w:r>
    </w:p>
    <w:p w14:paraId="7D25EBF1" w14:textId="0BD38F64" w:rsidR="0034416D" w:rsidRDefault="0034416D" w:rsidP="0084299D">
      <w:pPr>
        <w:pStyle w:val="ListParagraph"/>
        <w:numPr>
          <w:ilvl w:val="1"/>
          <w:numId w:val="2"/>
        </w:numPr>
        <w:jc w:val="both"/>
        <w:rPr>
          <w:rFonts w:cstheme="minorHAnsi"/>
        </w:rPr>
      </w:pPr>
      <w:r>
        <w:rPr>
          <w:rFonts w:cstheme="minorHAnsi"/>
        </w:rPr>
        <w:t>The prospect of it recovering its market share</w:t>
      </w:r>
      <w:r w:rsidR="00945120">
        <w:rPr>
          <w:rFonts w:cstheme="minorHAnsi"/>
        </w:rPr>
        <w:t xml:space="preserve"> </w:t>
      </w:r>
      <w:r w:rsidR="00AE7D7D">
        <w:rPr>
          <w:rFonts w:cstheme="minorHAnsi"/>
        </w:rPr>
        <w:t>is</w:t>
      </w:r>
      <w:r w:rsidR="00945120">
        <w:rPr>
          <w:rFonts w:cstheme="minorHAnsi"/>
        </w:rPr>
        <w:t xml:space="preserve"> more in line with Government reports</w:t>
      </w:r>
      <w:r w:rsidR="005134C2">
        <w:rPr>
          <w:rFonts w:cstheme="minorHAnsi"/>
        </w:rPr>
        <w:t xml:space="preserve"> and</w:t>
      </w:r>
      <w:r>
        <w:rPr>
          <w:rFonts w:cstheme="minorHAnsi"/>
        </w:rPr>
        <w:t xml:space="preserve"> </w:t>
      </w:r>
      <w:r w:rsidR="00AE7D7D">
        <w:rPr>
          <w:rFonts w:cstheme="minorHAnsi"/>
        </w:rPr>
        <w:t xml:space="preserve">things </w:t>
      </w:r>
      <w:r>
        <w:rPr>
          <w:rFonts w:cstheme="minorHAnsi"/>
        </w:rPr>
        <w:t>do not appear good</w:t>
      </w:r>
    </w:p>
    <w:p w14:paraId="0B3362AD" w14:textId="38F63CAF" w:rsidR="0034416D" w:rsidRDefault="00335E95" w:rsidP="0084299D">
      <w:pPr>
        <w:pStyle w:val="ListParagraph"/>
        <w:numPr>
          <w:ilvl w:val="1"/>
          <w:numId w:val="2"/>
        </w:numPr>
        <w:jc w:val="both"/>
        <w:rPr>
          <w:rFonts w:cstheme="minorHAnsi"/>
        </w:rPr>
      </w:pPr>
      <w:r>
        <w:rPr>
          <w:rFonts w:cstheme="minorHAnsi"/>
        </w:rPr>
        <w:t>T</w:t>
      </w:r>
      <w:r w:rsidR="0034416D">
        <w:rPr>
          <w:rFonts w:cstheme="minorHAnsi"/>
        </w:rPr>
        <w:t xml:space="preserve">o protect its business, the Port </w:t>
      </w:r>
      <w:r w:rsidR="007816DE">
        <w:rPr>
          <w:rFonts w:cstheme="minorHAnsi"/>
        </w:rPr>
        <w:t>is automating with a significant number of job losses taking place and planned</w:t>
      </w:r>
    </w:p>
    <w:p w14:paraId="7ED3242D" w14:textId="7BCAF586" w:rsidR="005E7C04" w:rsidRDefault="005E7C04" w:rsidP="0084299D">
      <w:pPr>
        <w:pStyle w:val="ListParagraph"/>
        <w:numPr>
          <w:ilvl w:val="1"/>
          <w:numId w:val="2"/>
        </w:numPr>
        <w:jc w:val="both"/>
        <w:rPr>
          <w:rFonts w:cstheme="minorHAnsi"/>
        </w:rPr>
      </w:pPr>
      <w:r>
        <w:rPr>
          <w:rFonts w:cstheme="minorHAnsi"/>
        </w:rPr>
        <w:t>BT has announced</w:t>
      </w:r>
      <w:r w:rsidR="00E4644F">
        <w:rPr>
          <w:rFonts w:cstheme="minorHAnsi"/>
        </w:rPr>
        <w:t xml:space="preserve"> it will be losing 9,000</w:t>
      </w:r>
      <w:r>
        <w:rPr>
          <w:rFonts w:cstheme="minorHAnsi"/>
        </w:rPr>
        <w:t xml:space="preserve"> job</w:t>
      </w:r>
      <w:r w:rsidR="00E4644F">
        <w:rPr>
          <w:rFonts w:cstheme="minorHAnsi"/>
        </w:rPr>
        <w:t xml:space="preserve">s worldwide, with 900 or so planned at </w:t>
      </w:r>
      <w:proofErr w:type="spellStart"/>
      <w:r w:rsidR="00E4644F">
        <w:rPr>
          <w:rFonts w:cstheme="minorHAnsi"/>
        </w:rPr>
        <w:t>Adastral</w:t>
      </w:r>
      <w:proofErr w:type="spellEnd"/>
      <w:r w:rsidR="00E4644F">
        <w:rPr>
          <w:rFonts w:cstheme="minorHAnsi"/>
        </w:rPr>
        <w:t xml:space="preserve"> Park</w:t>
      </w:r>
    </w:p>
    <w:p w14:paraId="343A0686" w14:textId="5E24038E" w:rsidR="007569CC" w:rsidRDefault="001F1C08" w:rsidP="0084299D">
      <w:pPr>
        <w:pStyle w:val="ListParagraph"/>
        <w:numPr>
          <w:ilvl w:val="1"/>
          <w:numId w:val="2"/>
        </w:numPr>
        <w:jc w:val="both"/>
        <w:rPr>
          <w:rFonts w:cstheme="minorHAnsi"/>
        </w:rPr>
      </w:pPr>
      <w:r>
        <w:rPr>
          <w:rFonts w:cstheme="minorHAnsi"/>
        </w:rPr>
        <w:t xml:space="preserve">The </w:t>
      </w:r>
      <w:r w:rsidR="007569CC">
        <w:rPr>
          <w:rFonts w:cstheme="minorHAnsi"/>
        </w:rPr>
        <w:t>Sizewell C</w:t>
      </w:r>
      <w:r>
        <w:rPr>
          <w:rFonts w:cstheme="minorHAnsi"/>
        </w:rPr>
        <w:t xml:space="preserve"> workforce is planned to be transient during the build phase</w:t>
      </w:r>
      <w:r w:rsidR="009A6907">
        <w:rPr>
          <w:rFonts w:cstheme="minorHAnsi"/>
        </w:rPr>
        <w:t>, with only 900 or so becoming permanent after 2030.</w:t>
      </w:r>
    </w:p>
    <w:p w14:paraId="26A9519A" w14:textId="3BF5BAE6" w:rsidR="009352EC" w:rsidRDefault="009352EC" w:rsidP="0084299D">
      <w:pPr>
        <w:pStyle w:val="ListParagraph"/>
        <w:numPr>
          <w:ilvl w:val="1"/>
          <w:numId w:val="2"/>
        </w:numPr>
        <w:jc w:val="both"/>
        <w:rPr>
          <w:rFonts w:cstheme="minorHAnsi"/>
        </w:rPr>
      </w:pPr>
      <w:r>
        <w:rPr>
          <w:rFonts w:cstheme="minorHAnsi"/>
        </w:rPr>
        <w:lastRenderedPageBreak/>
        <w:t xml:space="preserve">Permanent employees will wish to live </w:t>
      </w:r>
      <w:r w:rsidR="00A07496">
        <w:rPr>
          <w:rFonts w:cstheme="minorHAnsi"/>
        </w:rPr>
        <w:t>close to their workplace</w:t>
      </w:r>
    </w:p>
    <w:p w14:paraId="5125F402" w14:textId="0906D4DC" w:rsidR="009A6907" w:rsidRDefault="000A49B0" w:rsidP="0084299D">
      <w:pPr>
        <w:pStyle w:val="ListParagraph"/>
        <w:numPr>
          <w:ilvl w:val="1"/>
          <w:numId w:val="2"/>
        </w:numPr>
        <w:jc w:val="both"/>
        <w:rPr>
          <w:rFonts w:cstheme="minorHAnsi"/>
        </w:rPr>
      </w:pPr>
      <w:r>
        <w:rPr>
          <w:rFonts w:cstheme="minorHAnsi"/>
        </w:rPr>
        <w:t>Common sense dictates job growth</w:t>
      </w:r>
      <w:r w:rsidR="00C92AAA">
        <w:rPr>
          <w:rFonts w:cstheme="minorHAnsi"/>
        </w:rPr>
        <w:t xml:space="preserve"> from the small / medium-size business sector is not going to be measured in </w:t>
      </w:r>
      <w:r w:rsidR="00E7207B">
        <w:rPr>
          <w:rFonts w:cstheme="minorHAnsi"/>
        </w:rPr>
        <w:t>thousands</w:t>
      </w:r>
    </w:p>
    <w:p w14:paraId="0455FA5B" w14:textId="33647AA0" w:rsidR="004F7E36" w:rsidRPr="00D07449" w:rsidRDefault="00017458" w:rsidP="00D07449">
      <w:pPr>
        <w:pStyle w:val="ListParagraph"/>
        <w:numPr>
          <w:ilvl w:val="1"/>
          <w:numId w:val="2"/>
        </w:numPr>
        <w:jc w:val="both"/>
        <w:rPr>
          <w:rFonts w:cstheme="minorHAnsi"/>
        </w:rPr>
      </w:pPr>
      <w:r>
        <w:rPr>
          <w:rFonts w:cstheme="minorHAnsi"/>
        </w:rPr>
        <w:t>If</w:t>
      </w:r>
      <w:r w:rsidR="00D13311">
        <w:rPr>
          <w:rFonts w:cstheme="minorHAnsi"/>
        </w:rPr>
        <w:t xml:space="preserve"> </w:t>
      </w:r>
      <w:r w:rsidR="00E44036">
        <w:rPr>
          <w:rFonts w:cstheme="minorHAnsi"/>
        </w:rPr>
        <w:t>Innocence Farm</w:t>
      </w:r>
      <w:r w:rsidR="00A004A8">
        <w:rPr>
          <w:rFonts w:cstheme="minorHAnsi"/>
        </w:rPr>
        <w:t xml:space="preserve"> is</w:t>
      </w:r>
      <w:r>
        <w:rPr>
          <w:rFonts w:cstheme="minorHAnsi"/>
        </w:rPr>
        <w:t xml:space="preserve"> to be used</w:t>
      </w:r>
      <w:r w:rsidR="007A2DE2">
        <w:rPr>
          <w:rFonts w:cstheme="minorHAnsi"/>
        </w:rPr>
        <w:t xml:space="preserve"> (</w:t>
      </w:r>
      <w:proofErr w:type="spellStart"/>
      <w:r w:rsidR="007A2DE2">
        <w:rPr>
          <w:rFonts w:cstheme="minorHAnsi"/>
        </w:rPr>
        <w:t>i</w:t>
      </w:r>
      <w:proofErr w:type="spellEnd"/>
      <w:r w:rsidR="007A2DE2">
        <w:rPr>
          <w:rFonts w:cstheme="minorHAnsi"/>
        </w:rPr>
        <w:t xml:space="preserve">) to accommodate </w:t>
      </w:r>
      <w:r w:rsidR="009E2857">
        <w:rPr>
          <w:rFonts w:cstheme="minorHAnsi"/>
        </w:rPr>
        <w:t>port-centric operations displaced from the Port (ii)</w:t>
      </w:r>
      <w:r w:rsidR="00E44036">
        <w:rPr>
          <w:rFonts w:cstheme="minorHAnsi"/>
        </w:rPr>
        <w:t xml:space="preserve"> </w:t>
      </w:r>
      <w:r w:rsidR="009846C8">
        <w:rPr>
          <w:rFonts w:cstheme="minorHAnsi"/>
        </w:rPr>
        <w:t>container storage (iii) lorry parking</w:t>
      </w:r>
      <w:r>
        <w:rPr>
          <w:rFonts w:cstheme="minorHAnsi"/>
        </w:rPr>
        <w:t>,</w:t>
      </w:r>
      <w:r w:rsidR="00AA3EF4">
        <w:rPr>
          <w:rFonts w:cstheme="minorHAnsi"/>
        </w:rPr>
        <w:t xml:space="preserve"> then it </w:t>
      </w:r>
      <w:proofErr w:type="gramStart"/>
      <w:r w:rsidR="00AA3EF4">
        <w:rPr>
          <w:rFonts w:cstheme="minorHAnsi"/>
        </w:rPr>
        <w:t>has to</w:t>
      </w:r>
      <w:proofErr w:type="gramEnd"/>
      <w:r w:rsidR="00AA3EF4">
        <w:rPr>
          <w:rFonts w:cstheme="minorHAnsi"/>
        </w:rPr>
        <w:t xml:space="preserve"> be concluded </w:t>
      </w:r>
      <w:r w:rsidR="00BD57B0">
        <w:rPr>
          <w:rFonts w:cstheme="minorHAnsi"/>
        </w:rPr>
        <w:t>(</w:t>
      </w:r>
      <w:proofErr w:type="spellStart"/>
      <w:r w:rsidR="00BD57B0">
        <w:rPr>
          <w:rFonts w:cstheme="minorHAnsi"/>
        </w:rPr>
        <w:t>i</w:t>
      </w:r>
      <w:proofErr w:type="spellEnd"/>
      <w:r w:rsidR="00BD57B0">
        <w:rPr>
          <w:rFonts w:cstheme="minorHAnsi"/>
        </w:rPr>
        <w:t xml:space="preserve">) </w:t>
      </w:r>
      <w:r w:rsidR="00940806">
        <w:rPr>
          <w:rFonts w:cstheme="minorHAnsi"/>
        </w:rPr>
        <w:t>Zero</w:t>
      </w:r>
      <w:r w:rsidR="00AA3EF4">
        <w:rPr>
          <w:rFonts w:cstheme="minorHAnsi"/>
        </w:rPr>
        <w:t xml:space="preserve"> jobs will arise from displaced </w:t>
      </w:r>
      <w:r w:rsidR="00BD57B0">
        <w:rPr>
          <w:rFonts w:cstheme="minorHAnsi"/>
        </w:rPr>
        <w:t xml:space="preserve">port-centric </w:t>
      </w:r>
      <w:r w:rsidR="00AA3EF4">
        <w:rPr>
          <w:rFonts w:cstheme="minorHAnsi"/>
        </w:rPr>
        <w:t>operations</w:t>
      </w:r>
      <w:r w:rsidR="00910C63">
        <w:rPr>
          <w:rFonts w:cstheme="minorHAnsi"/>
        </w:rPr>
        <w:t xml:space="preserve"> and </w:t>
      </w:r>
      <w:r w:rsidR="00940806">
        <w:rPr>
          <w:rFonts w:cstheme="minorHAnsi"/>
        </w:rPr>
        <w:t xml:space="preserve">(ii) </w:t>
      </w:r>
      <w:r w:rsidR="00910C63">
        <w:rPr>
          <w:rFonts w:cstheme="minorHAnsi"/>
        </w:rPr>
        <w:t>new jobs arising from (automated?)</w:t>
      </w:r>
      <w:r w:rsidR="00EE0D6B">
        <w:rPr>
          <w:rFonts w:cstheme="minorHAnsi"/>
        </w:rPr>
        <w:t xml:space="preserve"> warehouses </w:t>
      </w:r>
      <w:r w:rsidR="00940806">
        <w:rPr>
          <w:rFonts w:cstheme="minorHAnsi"/>
        </w:rPr>
        <w:t xml:space="preserve">/ </w:t>
      </w:r>
      <w:r w:rsidR="00EE0D6B">
        <w:rPr>
          <w:rFonts w:cstheme="minorHAnsi"/>
        </w:rPr>
        <w:t>a lorry park will NOT come close to the 1081 jobs planned</w:t>
      </w:r>
      <w:r>
        <w:rPr>
          <w:rFonts w:cstheme="minorHAnsi"/>
        </w:rPr>
        <w:t>!</w:t>
      </w:r>
    </w:p>
    <w:p w14:paraId="77134E53" w14:textId="5929E5E2" w:rsidR="00B5653B" w:rsidRDefault="00E7207B" w:rsidP="00CF2DDE">
      <w:pPr>
        <w:pStyle w:val="ListParagraph"/>
        <w:numPr>
          <w:ilvl w:val="0"/>
          <w:numId w:val="2"/>
        </w:numPr>
        <w:jc w:val="both"/>
        <w:rPr>
          <w:rFonts w:cstheme="minorHAnsi"/>
        </w:rPr>
      </w:pPr>
      <w:r>
        <w:rPr>
          <w:rFonts w:cstheme="minorHAnsi"/>
        </w:rPr>
        <w:t>It makes no attempt</w:t>
      </w:r>
      <w:r w:rsidR="004F7E36">
        <w:rPr>
          <w:rFonts w:cstheme="minorHAnsi"/>
        </w:rPr>
        <w:t xml:space="preserve"> to objectively assess</w:t>
      </w:r>
      <w:r w:rsidR="007126F2">
        <w:rPr>
          <w:rFonts w:cstheme="minorHAnsi"/>
        </w:rPr>
        <w:t xml:space="preserve"> the need</w:t>
      </w:r>
      <w:r w:rsidR="007A1757">
        <w:rPr>
          <w:rFonts w:cstheme="minorHAnsi"/>
        </w:rPr>
        <w:t xml:space="preserve"> for employment land</w:t>
      </w:r>
    </w:p>
    <w:p w14:paraId="376505F0" w14:textId="39F4E7B0" w:rsidR="005D4D1F" w:rsidRDefault="00DA758B" w:rsidP="00CF2DDE">
      <w:pPr>
        <w:pStyle w:val="ListParagraph"/>
        <w:numPr>
          <w:ilvl w:val="0"/>
          <w:numId w:val="2"/>
        </w:numPr>
        <w:jc w:val="both"/>
        <w:rPr>
          <w:rFonts w:cstheme="minorHAnsi"/>
        </w:rPr>
      </w:pPr>
      <w:r>
        <w:rPr>
          <w:rFonts w:cstheme="minorHAnsi"/>
        </w:rPr>
        <w:t>The Plan is not informed by agreements with neighbouring authorities</w:t>
      </w:r>
    </w:p>
    <w:p w14:paraId="03690B88" w14:textId="35F6D5B7" w:rsidR="005B1D67" w:rsidRDefault="0085219B" w:rsidP="00CF2DDE">
      <w:pPr>
        <w:pStyle w:val="ListParagraph"/>
        <w:numPr>
          <w:ilvl w:val="0"/>
          <w:numId w:val="2"/>
        </w:numPr>
        <w:jc w:val="both"/>
        <w:rPr>
          <w:rFonts w:cstheme="minorHAnsi"/>
        </w:rPr>
      </w:pPr>
      <w:r>
        <w:rPr>
          <w:rFonts w:cstheme="minorHAnsi"/>
        </w:rPr>
        <w:t>It takes no account of</w:t>
      </w:r>
    </w:p>
    <w:p w14:paraId="62CE846A" w14:textId="0612F64E" w:rsidR="00F44372" w:rsidRDefault="00F44372" w:rsidP="00F44372">
      <w:pPr>
        <w:pStyle w:val="ListParagraph"/>
        <w:numPr>
          <w:ilvl w:val="1"/>
          <w:numId w:val="2"/>
        </w:numPr>
        <w:jc w:val="both"/>
        <w:rPr>
          <w:rFonts w:cstheme="minorHAnsi"/>
        </w:rPr>
      </w:pPr>
      <w:r>
        <w:rPr>
          <w:rFonts w:cstheme="minorHAnsi"/>
        </w:rPr>
        <w:t>The impact of increased rail capacity</w:t>
      </w:r>
      <w:r w:rsidR="00316E92">
        <w:rPr>
          <w:rFonts w:cstheme="minorHAnsi"/>
        </w:rPr>
        <w:t xml:space="preserve"> (suggested as 40% plus)</w:t>
      </w:r>
    </w:p>
    <w:p w14:paraId="207FB826" w14:textId="4DA58BDD" w:rsidR="00395679" w:rsidRDefault="00115A8E" w:rsidP="00F44372">
      <w:pPr>
        <w:pStyle w:val="ListParagraph"/>
        <w:numPr>
          <w:ilvl w:val="1"/>
          <w:numId w:val="2"/>
        </w:numPr>
        <w:jc w:val="both"/>
        <w:rPr>
          <w:rFonts w:cstheme="minorHAnsi"/>
        </w:rPr>
      </w:pPr>
      <w:r>
        <w:rPr>
          <w:rFonts w:cstheme="minorHAnsi"/>
        </w:rPr>
        <w:t>The fact the Port’s land requirements are based on the 2008 Port Study data</w:t>
      </w:r>
      <w:r w:rsidR="00565164">
        <w:rPr>
          <w:rFonts w:cstheme="minorHAnsi"/>
        </w:rPr>
        <w:t>, which is no longer valid</w:t>
      </w:r>
    </w:p>
    <w:p w14:paraId="45302642" w14:textId="5DCA5AA7" w:rsidR="001B1F7A" w:rsidRDefault="001B1F7A" w:rsidP="00F44372">
      <w:pPr>
        <w:pStyle w:val="ListParagraph"/>
        <w:numPr>
          <w:ilvl w:val="1"/>
          <w:numId w:val="2"/>
        </w:numPr>
        <w:jc w:val="both"/>
        <w:rPr>
          <w:rFonts w:cstheme="minorHAnsi"/>
        </w:rPr>
      </w:pPr>
      <w:r>
        <w:rPr>
          <w:rFonts w:cstheme="minorHAnsi"/>
        </w:rPr>
        <w:t>The efficiency gains realised</w:t>
      </w:r>
      <w:r w:rsidR="00395679">
        <w:rPr>
          <w:rFonts w:cstheme="minorHAnsi"/>
        </w:rPr>
        <w:t xml:space="preserve"> in the 11 years since the 2008 Study</w:t>
      </w:r>
      <w:r w:rsidR="00565164">
        <w:rPr>
          <w:rFonts w:cstheme="minorHAnsi"/>
        </w:rPr>
        <w:t xml:space="preserve"> was published</w:t>
      </w:r>
    </w:p>
    <w:p w14:paraId="37049DD2" w14:textId="654E70F9" w:rsidR="009479AB" w:rsidRDefault="009479AB" w:rsidP="00F44372">
      <w:pPr>
        <w:pStyle w:val="ListParagraph"/>
        <w:numPr>
          <w:ilvl w:val="1"/>
          <w:numId w:val="2"/>
        </w:numPr>
        <w:jc w:val="both"/>
        <w:rPr>
          <w:rFonts w:cstheme="minorHAnsi"/>
        </w:rPr>
      </w:pPr>
      <w:r>
        <w:rPr>
          <w:rFonts w:cstheme="minorHAnsi"/>
        </w:rPr>
        <w:t xml:space="preserve">Further efficiency </w:t>
      </w:r>
      <w:r w:rsidR="00E436AC">
        <w:rPr>
          <w:rFonts w:cstheme="minorHAnsi"/>
        </w:rPr>
        <w:t>gains likely over the Plan period</w:t>
      </w:r>
    </w:p>
    <w:p w14:paraId="4FEDDD74" w14:textId="45654B8F" w:rsidR="002C7DB8" w:rsidRPr="005C584F" w:rsidRDefault="007B3C34" w:rsidP="005C584F">
      <w:pPr>
        <w:pStyle w:val="ListParagraph"/>
        <w:numPr>
          <w:ilvl w:val="1"/>
          <w:numId w:val="2"/>
        </w:numPr>
        <w:jc w:val="both"/>
        <w:rPr>
          <w:rFonts w:cstheme="minorHAnsi"/>
        </w:rPr>
      </w:pPr>
      <w:r>
        <w:rPr>
          <w:rFonts w:cstheme="minorHAnsi"/>
        </w:rPr>
        <w:t>The possible effects of Brexit</w:t>
      </w:r>
    </w:p>
    <w:p w14:paraId="3D3D8E7A" w14:textId="5739653E" w:rsidR="007126F2" w:rsidRDefault="007126F2" w:rsidP="00CF2DDE">
      <w:pPr>
        <w:pStyle w:val="ListParagraph"/>
        <w:numPr>
          <w:ilvl w:val="0"/>
          <w:numId w:val="2"/>
        </w:numPr>
        <w:jc w:val="both"/>
        <w:rPr>
          <w:rFonts w:cstheme="minorHAnsi"/>
        </w:rPr>
      </w:pPr>
      <w:r>
        <w:rPr>
          <w:rFonts w:cstheme="minorHAnsi"/>
        </w:rPr>
        <w:t>It fails to take account of SCDC’s coastal position</w:t>
      </w:r>
      <w:r w:rsidR="006A0D57">
        <w:rPr>
          <w:rFonts w:cstheme="minorHAnsi"/>
        </w:rPr>
        <w:t xml:space="preserve"> and, </w:t>
      </w:r>
      <w:r w:rsidR="00336D13">
        <w:rPr>
          <w:rFonts w:cstheme="minorHAnsi"/>
        </w:rPr>
        <w:t>specifically,</w:t>
      </w:r>
      <w:r w:rsidR="006A0D57">
        <w:rPr>
          <w:rFonts w:cstheme="minorHAnsi"/>
        </w:rPr>
        <w:t xml:space="preserve"> that access is only possible fro</w:t>
      </w:r>
      <w:r w:rsidR="00775BEC">
        <w:rPr>
          <w:rFonts w:cstheme="minorHAnsi"/>
        </w:rPr>
        <w:t>m a northerly or westerly direction</w:t>
      </w:r>
    </w:p>
    <w:p w14:paraId="351FD9F2" w14:textId="5AEC7E72" w:rsidR="00137843" w:rsidRPr="00F4431A" w:rsidRDefault="005E3DB2" w:rsidP="00F4431A">
      <w:pPr>
        <w:pStyle w:val="ListParagraph"/>
        <w:numPr>
          <w:ilvl w:val="0"/>
          <w:numId w:val="2"/>
        </w:numPr>
        <w:jc w:val="both"/>
        <w:rPr>
          <w:rFonts w:cstheme="minorHAnsi"/>
        </w:rPr>
      </w:pPr>
      <w:r>
        <w:rPr>
          <w:rFonts w:cstheme="minorHAnsi"/>
        </w:rPr>
        <w:t xml:space="preserve">It fails to </w:t>
      </w:r>
      <w:r w:rsidR="00F658FA">
        <w:rPr>
          <w:rFonts w:cstheme="minorHAnsi"/>
        </w:rPr>
        <w:t>assess</w:t>
      </w:r>
      <w:r w:rsidR="00D33593">
        <w:rPr>
          <w:rFonts w:cstheme="minorHAnsi"/>
        </w:rPr>
        <w:t xml:space="preserve"> the</w:t>
      </w:r>
      <w:r w:rsidR="00F658FA">
        <w:rPr>
          <w:rFonts w:cstheme="minorHAnsi"/>
        </w:rPr>
        <w:t xml:space="preserve"> impact the</w:t>
      </w:r>
      <w:r w:rsidR="00D33593">
        <w:rPr>
          <w:rFonts w:cstheme="minorHAnsi"/>
        </w:rPr>
        <w:t xml:space="preserve"> preceding point </w:t>
      </w:r>
      <w:r w:rsidR="00F658FA">
        <w:rPr>
          <w:rFonts w:cstheme="minorHAnsi"/>
        </w:rPr>
        <w:t xml:space="preserve">is likely to have </w:t>
      </w:r>
      <w:r w:rsidR="00D33593">
        <w:rPr>
          <w:rFonts w:cstheme="minorHAnsi"/>
        </w:rPr>
        <w:t>on businesses thinking of setting up in the area</w:t>
      </w:r>
    </w:p>
    <w:p w14:paraId="25CDD573" w14:textId="32A52CED" w:rsidR="00713F71" w:rsidRPr="00794E1A" w:rsidRDefault="009B16BD" w:rsidP="00794E1A">
      <w:pPr>
        <w:pStyle w:val="ListParagraph"/>
        <w:numPr>
          <w:ilvl w:val="0"/>
          <w:numId w:val="2"/>
        </w:numPr>
        <w:jc w:val="both"/>
        <w:rPr>
          <w:rFonts w:cstheme="minorHAnsi"/>
        </w:rPr>
      </w:pPr>
      <w:r>
        <w:rPr>
          <w:rFonts w:cstheme="minorHAnsi"/>
        </w:rPr>
        <w:t xml:space="preserve">Because of all the points noted </w:t>
      </w:r>
      <w:r w:rsidR="0040074D">
        <w:rPr>
          <w:rFonts w:cstheme="minorHAnsi"/>
        </w:rPr>
        <w:t>above, i</w:t>
      </w:r>
      <w:r>
        <w:rPr>
          <w:rFonts w:cstheme="minorHAnsi"/>
        </w:rPr>
        <w:t>t is not consistent with sustainable development</w:t>
      </w:r>
    </w:p>
    <w:p w14:paraId="64825A11" w14:textId="77777777" w:rsidR="00713F71" w:rsidRDefault="00713F71" w:rsidP="00713F71">
      <w:pPr>
        <w:pStyle w:val="ListParagraph"/>
        <w:ind w:left="1080"/>
        <w:jc w:val="both"/>
        <w:rPr>
          <w:rFonts w:cstheme="minorHAnsi"/>
        </w:rPr>
      </w:pPr>
    </w:p>
    <w:p w14:paraId="77C62E57" w14:textId="624783E6" w:rsidR="00713F71" w:rsidRPr="00417E6B" w:rsidRDefault="00713F71" w:rsidP="001B2C9D">
      <w:pPr>
        <w:pStyle w:val="ListParagraph"/>
        <w:numPr>
          <w:ilvl w:val="0"/>
          <w:numId w:val="3"/>
        </w:numPr>
        <w:ind w:left="709" w:hanging="709"/>
        <w:jc w:val="both"/>
        <w:rPr>
          <w:rFonts w:cstheme="minorHAnsi"/>
          <w:u w:val="single"/>
        </w:rPr>
      </w:pPr>
      <w:r w:rsidRPr="00417E6B">
        <w:rPr>
          <w:rFonts w:cstheme="minorHAnsi"/>
          <w:u w:val="single"/>
        </w:rPr>
        <w:t xml:space="preserve">It is NOT </w:t>
      </w:r>
      <w:r w:rsidR="00762BF1">
        <w:rPr>
          <w:rFonts w:cstheme="minorHAnsi"/>
          <w:u w:val="single"/>
        </w:rPr>
        <w:t>“</w:t>
      </w:r>
      <w:r>
        <w:rPr>
          <w:rFonts w:cstheme="minorHAnsi"/>
          <w:u w:val="single"/>
        </w:rPr>
        <w:t>Justified</w:t>
      </w:r>
      <w:r w:rsidR="00762BF1">
        <w:rPr>
          <w:rFonts w:cstheme="minorHAnsi"/>
          <w:u w:val="single"/>
        </w:rPr>
        <w:t>”</w:t>
      </w:r>
      <w:r w:rsidRPr="00417E6B">
        <w:rPr>
          <w:rFonts w:cstheme="minorHAnsi"/>
          <w:u w:val="single"/>
        </w:rPr>
        <w:t xml:space="preserve"> because:</w:t>
      </w:r>
    </w:p>
    <w:p w14:paraId="697010AD" w14:textId="77777777" w:rsidR="00E50E0B" w:rsidRDefault="00E50E0B" w:rsidP="00E50E0B">
      <w:pPr>
        <w:pStyle w:val="ListParagraph"/>
        <w:ind w:left="1134"/>
        <w:jc w:val="both"/>
        <w:rPr>
          <w:rFonts w:cstheme="minorHAnsi"/>
        </w:rPr>
      </w:pPr>
    </w:p>
    <w:p w14:paraId="7D811372" w14:textId="471D4C02" w:rsidR="00DA2DEF" w:rsidRDefault="00805DE0" w:rsidP="00762BF1">
      <w:pPr>
        <w:pStyle w:val="ListParagraph"/>
        <w:numPr>
          <w:ilvl w:val="0"/>
          <w:numId w:val="4"/>
        </w:numPr>
        <w:ind w:left="1134" w:hanging="425"/>
        <w:jc w:val="both"/>
        <w:rPr>
          <w:rFonts w:cstheme="minorHAnsi"/>
        </w:rPr>
      </w:pPr>
      <w:r>
        <w:rPr>
          <w:rFonts w:cstheme="minorHAnsi"/>
        </w:rPr>
        <w:t>SCDC</w:t>
      </w:r>
      <w:r w:rsidR="008B093F">
        <w:rPr>
          <w:rFonts w:cstheme="minorHAnsi"/>
        </w:rPr>
        <w:t xml:space="preserve"> ignores the latest</w:t>
      </w:r>
      <w:r w:rsidR="004F5E56">
        <w:rPr>
          <w:rFonts w:cstheme="minorHAnsi"/>
        </w:rPr>
        <w:t xml:space="preserve"> (2017) East of England Forecasting </w:t>
      </w:r>
      <w:r w:rsidR="00246B87">
        <w:rPr>
          <w:rFonts w:cstheme="minorHAnsi"/>
        </w:rPr>
        <w:t xml:space="preserve">Model (EEFM) </w:t>
      </w:r>
      <w:r w:rsidR="004F5E56">
        <w:rPr>
          <w:rFonts w:cstheme="minorHAnsi"/>
        </w:rPr>
        <w:t>data</w:t>
      </w:r>
      <w:r w:rsidR="00DC5C63">
        <w:rPr>
          <w:rFonts w:cstheme="minorHAnsi"/>
        </w:rPr>
        <w:t>,</w:t>
      </w:r>
      <w:r w:rsidR="004F5E56">
        <w:rPr>
          <w:rFonts w:cstheme="minorHAnsi"/>
        </w:rPr>
        <w:t xml:space="preserve"> </w:t>
      </w:r>
      <w:r w:rsidR="00DC5C63">
        <w:rPr>
          <w:rFonts w:cstheme="minorHAnsi"/>
        </w:rPr>
        <w:t>but</w:t>
      </w:r>
      <w:r w:rsidR="004F5E56">
        <w:rPr>
          <w:rFonts w:cstheme="minorHAnsi"/>
        </w:rPr>
        <w:t xml:space="preserve"> uses the </w:t>
      </w:r>
      <w:r w:rsidR="00DA2DEF">
        <w:rPr>
          <w:rFonts w:cstheme="minorHAnsi"/>
        </w:rPr>
        <w:t>2016 data instead</w:t>
      </w:r>
    </w:p>
    <w:p w14:paraId="2BE70D68" w14:textId="4DC498C5" w:rsidR="00805DE0" w:rsidRDefault="00805DE0" w:rsidP="00762BF1">
      <w:pPr>
        <w:pStyle w:val="ListParagraph"/>
        <w:numPr>
          <w:ilvl w:val="0"/>
          <w:numId w:val="4"/>
        </w:numPr>
        <w:ind w:left="1134" w:hanging="425"/>
        <w:jc w:val="both"/>
        <w:rPr>
          <w:rFonts w:cstheme="minorHAnsi"/>
        </w:rPr>
      </w:pPr>
      <w:r>
        <w:rPr>
          <w:rFonts w:cstheme="minorHAnsi"/>
        </w:rPr>
        <w:t>In effect this means</w:t>
      </w:r>
      <w:r w:rsidR="00E76C32">
        <w:rPr>
          <w:rFonts w:cstheme="minorHAnsi"/>
        </w:rPr>
        <w:t xml:space="preserve"> </w:t>
      </w:r>
      <w:r w:rsidR="00724B99">
        <w:rPr>
          <w:rFonts w:cstheme="minorHAnsi"/>
        </w:rPr>
        <w:t>SCDC has o</w:t>
      </w:r>
      <w:r w:rsidR="0094373A">
        <w:rPr>
          <w:rFonts w:cstheme="minorHAnsi"/>
        </w:rPr>
        <w:t>verstated the</w:t>
      </w:r>
      <w:r w:rsidR="00E76C32">
        <w:rPr>
          <w:rFonts w:cstheme="minorHAnsi"/>
        </w:rPr>
        <w:t xml:space="preserve"> jobs growth forecast </w:t>
      </w:r>
      <w:r w:rsidR="00C84088">
        <w:rPr>
          <w:rFonts w:cstheme="minorHAnsi"/>
        </w:rPr>
        <w:t>(</w:t>
      </w:r>
      <w:r w:rsidR="00E76C32">
        <w:rPr>
          <w:rFonts w:cstheme="minorHAnsi"/>
        </w:rPr>
        <w:t>6</w:t>
      </w:r>
      <w:r w:rsidR="001154D2">
        <w:rPr>
          <w:rFonts w:cstheme="minorHAnsi"/>
        </w:rPr>
        <w:t>,</w:t>
      </w:r>
      <w:r w:rsidR="00E76C32">
        <w:rPr>
          <w:rFonts w:cstheme="minorHAnsi"/>
        </w:rPr>
        <w:t>500</w:t>
      </w:r>
      <w:r w:rsidR="00C84088">
        <w:rPr>
          <w:rFonts w:cstheme="minorHAnsi"/>
        </w:rPr>
        <w:t>) by 1,100 jobs</w:t>
      </w:r>
    </w:p>
    <w:p w14:paraId="33FF78FA" w14:textId="77777777" w:rsidR="00742B6C" w:rsidRDefault="000F08B9" w:rsidP="00762BF1">
      <w:pPr>
        <w:pStyle w:val="ListParagraph"/>
        <w:numPr>
          <w:ilvl w:val="0"/>
          <w:numId w:val="4"/>
        </w:numPr>
        <w:ind w:left="1134" w:hanging="425"/>
        <w:jc w:val="both"/>
        <w:rPr>
          <w:rFonts w:cstheme="minorHAnsi"/>
        </w:rPr>
      </w:pPr>
      <w:r>
        <w:rPr>
          <w:rFonts w:cstheme="minorHAnsi"/>
        </w:rPr>
        <w:t xml:space="preserve">Despite the </w:t>
      </w:r>
      <w:r w:rsidR="00DC5C63">
        <w:rPr>
          <w:rFonts w:cstheme="minorHAnsi"/>
        </w:rPr>
        <w:t>preceding two points,</w:t>
      </w:r>
      <w:r w:rsidR="00FA3CA9">
        <w:rPr>
          <w:rFonts w:cstheme="minorHAnsi"/>
        </w:rPr>
        <w:t xml:space="preserve"> SCDC</w:t>
      </w:r>
      <w:r>
        <w:rPr>
          <w:rFonts w:cstheme="minorHAnsi"/>
        </w:rPr>
        <w:t xml:space="preserve"> </w:t>
      </w:r>
      <w:r w:rsidR="00171ED0">
        <w:rPr>
          <w:rFonts w:cstheme="minorHAnsi"/>
        </w:rPr>
        <w:t>chooses</w:t>
      </w:r>
      <w:r w:rsidR="00280DC6">
        <w:rPr>
          <w:rFonts w:cstheme="minorHAnsi"/>
        </w:rPr>
        <w:t xml:space="preserve"> to i</w:t>
      </w:r>
      <w:r w:rsidR="0034070D">
        <w:rPr>
          <w:rFonts w:cstheme="minorHAnsi"/>
        </w:rPr>
        <w:t xml:space="preserve">gnore the </w:t>
      </w:r>
      <w:r w:rsidR="00280DC6">
        <w:rPr>
          <w:rFonts w:cstheme="minorHAnsi"/>
        </w:rPr>
        <w:t xml:space="preserve">EEFM figures for </w:t>
      </w:r>
      <w:r w:rsidR="00742B6C">
        <w:rPr>
          <w:rFonts w:cstheme="minorHAnsi"/>
        </w:rPr>
        <w:t xml:space="preserve">its </w:t>
      </w:r>
      <w:r w:rsidR="00D2339D">
        <w:rPr>
          <w:rFonts w:cstheme="minorHAnsi"/>
        </w:rPr>
        <w:t xml:space="preserve">B8 </w:t>
      </w:r>
      <w:r w:rsidR="00280DC6">
        <w:rPr>
          <w:rFonts w:cstheme="minorHAnsi"/>
        </w:rPr>
        <w:t>employment land forecast</w:t>
      </w:r>
    </w:p>
    <w:p w14:paraId="0A2592FD" w14:textId="5ED5FEE2" w:rsidR="0003010C" w:rsidRDefault="00742B6C" w:rsidP="00762BF1">
      <w:pPr>
        <w:pStyle w:val="ListParagraph"/>
        <w:numPr>
          <w:ilvl w:val="0"/>
          <w:numId w:val="4"/>
        </w:numPr>
        <w:ind w:left="1134" w:hanging="425"/>
        <w:jc w:val="both"/>
        <w:rPr>
          <w:rFonts w:cstheme="minorHAnsi"/>
        </w:rPr>
      </w:pPr>
      <w:r>
        <w:rPr>
          <w:rFonts w:cstheme="minorHAnsi"/>
        </w:rPr>
        <w:t>The EEFM</w:t>
      </w:r>
      <w:r w:rsidR="00253EDC">
        <w:rPr>
          <w:rFonts w:cstheme="minorHAnsi"/>
        </w:rPr>
        <w:t xml:space="preserve"> figures </w:t>
      </w:r>
      <w:r w:rsidR="00D2339D">
        <w:rPr>
          <w:rFonts w:cstheme="minorHAnsi"/>
        </w:rPr>
        <w:t xml:space="preserve">show negligible </w:t>
      </w:r>
      <w:r w:rsidR="00253EDC">
        <w:rPr>
          <w:rFonts w:cstheme="minorHAnsi"/>
        </w:rPr>
        <w:t>growth in the employment land requirement</w:t>
      </w:r>
      <w:r w:rsidR="00D6493C">
        <w:rPr>
          <w:rFonts w:cstheme="minorHAnsi"/>
        </w:rPr>
        <w:t xml:space="preserve">, which </w:t>
      </w:r>
      <w:r w:rsidR="000E49DF">
        <w:rPr>
          <w:rFonts w:cstheme="minorHAnsi"/>
        </w:rPr>
        <w:t>defies the SCDC forecast in the Local Plan</w:t>
      </w:r>
    </w:p>
    <w:p w14:paraId="68F1738B" w14:textId="77777777" w:rsidR="009346FB" w:rsidRDefault="009346FB" w:rsidP="00AB1EB2">
      <w:pPr>
        <w:pStyle w:val="ListParagraph"/>
        <w:numPr>
          <w:ilvl w:val="0"/>
          <w:numId w:val="4"/>
        </w:numPr>
        <w:ind w:left="1134" w:hanging="425"/>
        <w:jc w:val="both"/>
      </w:pPr>
      <w:r>
        <w:t>There is no appropriate strategy for Innocence Farm and alternatives which are far more available and suitable have been ignored</w:t>
      </w:r>
    </w:p>
    <w:p w14:paraId="11EA9376" w14:textId="77777777" w:rsidR="009346FB" w:rsidRDefault="009346FB" w:rsidP="00AB1EB2">
      <w:pPr>
        <w:pStyle w:val="ListParagraph"/>
        <w:numPr>
          <w:ilvl w:val="0"/>
          <w:numId w:val="4"/>
        </w:numPr>
        <w:ind w:left="1134" w:hanging="425"/>
        <w:jc w:val="both"/>
      </w:pPr>
      <w:r>
        <w:t xml:space="preserve">Specifically, 67Ha of suitable land, which is part of the current pipeline of allocated </w:t>
      </w:r>
      <w:proofErr w:type="gramStart"/>
      <w:r>
        <w:t>sites,  close</w:t>
      </w:r>
      <w:proofErr w:type="gramEnd"/>
      <w:r>
        <w:t xml:space="preserve"> to the Port and identified by the Lichfield 2018 Port Study meet the Plan’s current claimed requirement</w:t>
      </w:r>
    </w:p>
    <w:p w14:paraId="6F27C1EC" w14:textId="77777777" w:rsidR="009346FB" w:rsidRDefault="009346FB" w:rsidP="00AB1EB2">
      <w:pPr>
        <w:pStyle w:val="ListParagraph"/>
        <w:numPr>
          <w:ilvl w:val="0"/>
          <w:numId w:val="4"/>
        </w:numPr>
        <w:ind w:left="1134" w:hanging="425"/>
        <w:jc w:val="both"/>
      </w:pPr>
      <w:r>
        <w:t xml:space="preserve">It is noteworthy the Logistics Park, </w:t>
      </w:r>
      <w:proofErr w:type="spellStart"/>
      <w:r>
        <w:t>Ransomes</w:t>
      </w:r>
      <w:proofErr w:type="spellEnd"/>
      <w:r>
        <w:t xml:space="preserve"> site and </w:t>
      </w:r>
      <w:proofErr w:type="spellStart"/>
      <w:r>
        <w:t>Clickett</w:t>
      </w:r>
      <w:proofErr w:type="spellEnd"/>
      <w:r>
        <w:t xml:space="preserve"> Hill meet 99% of the current stated requirement</w:t>
      </w:r>
    </w:p>
    <w:p w14:paraId="63477371" w14:textId="77777777" w:rsidR="009346FB" w:rsidRDefault="009346FB" w:rsidP="00AB1EB2">
      <w:pPr>
        <w:pStyle w:val="ListParagraph"/>
        <w:numPr>
          <w:ilvl w:val="0"/>
          <w:numId w:val="4"/>
        </w:numPr>
        <w:ind w:left="1134" w:hanging="425"/>
        <w:jc w:val="both"/>
      </w:pPr>
      <w:r>
        <w:t>These sites have planning permission already, good A14 access and are close to the Port</w:t>
      </w:r>
    </w:p>
    <w:p w14:paraId="4724A7DE" w14:textId="77777777" w:rsidR="009346FB" w:rsidRDefault="009346FB" w:rsidP="00AB1EB2">
      <w:pPr>
        <w:pStyle w:val="ListParagraph"/>
        <w:numPr>
          <w:ilvl w:val="0"/>
          <w:numId w:val="4"/>
        </w:numPr>
        <w:ind w:left="1134" w:hanging="425"/>
        <w:jc w:val="both"/>
      </w:pPr>
      <w:r>
        <w:t xml:space="preserve">The evidence base does not suggest the land requirement is for land at a single site, and the 2018 </w:t>
      </w:r>
      <w:proofErr w:type="spellStart"/>
      <w:r>
        <w:t>Lichfields</w:t>
      </w:r>
      <w:proofErr w:type="spellEnd"/>
      <w:r>
        <w:t xml:space="preserve"> report recommends that several sites would be better than a single site.</w:t>
      </w:r>
    </w:p>
    <w:p w14:paraId="233A44E9" w14:textId="1E271770" w:rsidR="00825350" w:rsidRPr="00AB1EB2" w:rsidRDefault="009346FB" w:rsidP="00AB1EB2">
      <w:pPr>
        <w:pStyle w:val="ListParagraph"/>
        <w:numPr>
          <w:ilvl w:val="0"/>
          <w:numId w:val="4"/>
        </w:numPr>
        <w:ind w:left="1134" w:hanging="425"/>
        <w:jc w:val="both"/>
      </w:pPr>
      <w:r>
        <w:t>The Plan fails to recognise ‘approved’ or ‘brownfield’ land should be used ahead of green field sites</w:t>
      </w:r>
    </w:p>
    <w:p w14:paraId="04CA2CC8" w14:textId="6E701854" w:rsidR="00874EA0" w:rsidRDefault="00874EA0" w:rsidP="00762BF1">
      <w:pPr>
        <w:pStyle w:val="ListParagraph"/>
        <w:numPr>
          <w:ilvl w:val="0"/>
          <w:numId w:val="4"/>
        </w:numPr>
        <w:ind w:left="1134" w:hanging="425"/>
        <w:jc w:val="both"/>
        <w:rPr>
          <w:rFonts w:cstheme="minorHAnsi"/>
        </w:rPr>
      </w:pPr>
      <w:proofErr w:type="gramStart"/>
      <w:r>
        <w:rPr>
          <w:rFonts w:cstheme="minorHAnsi"/>
        </w:rPr>
        <w:t>With regard to</w:t>
      </w:r>
      <w:proofErr w:type="gramEnd"/>
      <w:r>
        <w:rPr>
          <w:rFonts w:cstheme="minorHAnsi"/>
        </w:rPr>
        <w:t xml:space="preserve"> the preceding point</w:t>
      </w:r>
      <w:r w:rsidR="002C3B01">
        <w:rPr>
          <w:rFonts w:cstheme="minorHAnsi"/>
        </w:rPr>
        <w:t xml:space="preserve">, </w:t>
      </w:r>
      <w:r w:rsidR="0088410A">
        <w:rPr>
          <w:rFonts w:cstheme="minorHAnsi"/>
        </w:rPr>
        <w:t>t</w:t>
      </w:r>
      <w:r>
        <w:rPr>
          <w:rFonts w:cstheme="minorHAnsi"/>
        </w:rPr>
        <w:t>he Plan ap</w:t>
      </w:r>
      <w:r w:rsidR="002C3B01">
        <w:rPr>
          <w:rFonts w:cstheme="minorHAnsi"/>
        </w:rPr>
        <w:t>pears to breach NPPF, paragraph 2018</w:t>
      </w:r>
    </w:p>
    <w:p w14:paraId="3049977C" w14:textId="77777777" w:rsidR="004B5438" w:rsidRDefault="004B5438" w:rsidP="0088410A">
      <w:pPr>
        <w:jc w:val="both"/>
        <w:rPr>
          <w:rFonts w:cstheme="minorHAnsi"/>
          <w:u w:val="single"/>
        </w:rPr>
      </w:pPr>
    </w:p>
    <w:p w14:paraId="02EC3B18" w14:textId="6C82A7B6" w:rsidR="00686E4E" w:rsidRPr="00686E4E" w:rsidRDefault="0088410A" w:rsidP="00686E4E">
      <w:pPr>
        <w:pStyle w:val="ListParagraph"/>
        <w:numPr>
          <w:ilvl w:val="0"/>
          <w:numId w:val="3"/>
        </w:numPr>
        <w:ind w:left="709" w:hanging="709"/>
        <w:jc w:val="both"/>
        <w:rPr>
          <w:rFonts w:cstheme="minorHAnsi"/>
          <w:u w:val="single"/>
        </w:rPr>
      </w:pPr>
      <w:r w:rsidRPr="004B5438">
        <w:rPr>
          <w:rFonts w:cstheme="minorHAnsi"/>
          <w:u w:val="single"/>
        </w:rPr>
        <w:t>It is NOT “</w:t>
      </w:r>
      <w:r w:rsidR="000641B9">
        <w:rPr>
          <w:rFonts w:cstheme="minorHAnsi"/>
          <w:u w:val="single"/>
        </w:rPr>
        <w:t>Effective</w:t>
      </w:r>
      <w:r w:rsidRPr="004B5438">
        <w:rPr>
          <w:rFonts w:cstheme="minorHAnsi"/>
          <w:u w:val="single"/>
        </w:rPr>
        <w:t>” because:</w:t>
      </w:r>
    </w:p>
    <w:p w14:paraId="32D3B5FD" w14:textId="77777777" w:rsidR="00686E4E" w:rsidRDefault="00686E4E" w:rsidP="00686E4E">
      <w:pPr>
        <w:pStyle w:val="ListParagraph"/>
        <w:ind w:left="1134"/>
        <w:jc w:val="both"/>
        <w:rPr>
          <w:rFonts w:cstheme="minorHAnsi"/>
          <w:u w:val="single"/>
        </w:rPr>
      </w:pPr>
    </w:p>
    <w:p w14:paraId="241758F1" w14:textId="53FB2272" w:rsidR="004B5438" w:rsidRDefault="0063192C" w:rsidP="000641B9">
      <w:pPr>
        <w:pStyle w:val="ListParagraph"/>
        <w:numPr>
          <w:ilvl w:val="0"/>
          <w:numId w:val="6"/>
        </w:numPr>
        <w:ind w:left="1134" w:hanging="425"/>
        <w:jc w:val="both"/>
        <w:rPr>
          <w:rFonts w:cstheme="minorHAnsi"/>
        </w:rPr>
      </w:pPr>
      <w:r w:rsidRPr="00686E4E">
        <w:rPr>
          <w:rFonts w:cstheme="minorHAnsi"/>
        </w:rPr>
        <w:t>The Plan</w:t>
      </w:r>
      <w:r w:rsidR="009356DE">
        <w:rPr>
          <w:rFonts w:cstheme="minorHAnsi"/>
        </w:rPr>
        <w:t>’s viability is doubtful</w:t>
      </w:r>
      <w:r w:rsidR="00AA6527">
        <w:rPr>
          <w:rFonts w:cstheme="minorHAnsi"/>
        </w:rPr>
        <w:t xml:space="preserve">, as </w:t>
      </w:r>
      <w:r w:rsidR="00E300A5">
        <w:rPr>
          <w:rFonts w:cstheme="minorHAnsi"/>
        </w:rPr>
        <w:t>recognised within SCDC’s own evidence base</w:t>
      </w:r>
      <w:r w:rsidR="00AA6527">
        <w:rPr>
          <w:rFonts w:cstheme="minorHAnsi"/>
        </w:rPr>
        <w:t xml:space="preserve"> (Page 434)</w:t>
      </w:r>
    </w:p>
    <w:p w14:paraId="3088144E" w14:textId="4ED78CF9" w:rsidR="00AA6527" w:rsidRDefault="002C3416" w:rsidP="000641B9">
      <w:pPr>
        <w:pStyle w:val="ListParagraph"/>
        <w:numPr>
          <w:ilvl w:val="0"/>
          <w:numId w:val="6"/>
        </w:numPr>
        <w:ind w:left="1134" w:hanging="425"/>
        <w:jc w:val="both"/>
        <w:rPr>
          <w:rFonts w:cstheme="minorHAnsi"/>
        </w:rPr>
      </w:pPr>
      <w:r>
        <w:rPr>
          <w:rFonts w:cstheme="minorHAnsi"/>
        </w:rPr>
        <w:t>The Plan declares</w:t>
      </w:r>
      <w:r w:rsidR="001D5A1B">
        <w:rPr>
          <w:rFonts w:cstheme="minorHAnsi"/>
        </w:rPr>
        <w:t xml:space="preserve"> Innocence Farm to be unsuitable for anything other than Port-related use</w:t>
      </w:r>
      <w:r w:rsidR="00FB12D4">
        <w:rPr>
          <w:rFonts w:cstheme="minorHAnsi"/>
        </w:rPr>
        <w:t xml:space="preserve"> and, presumably, farming!</w:t>
      </w:r>
    </w:p>
    <w:p w14:paraId="3E481C07" w14:textId="6468BCD9" w:rsidR="00FB12D4" w:rsidRDefault="00960560" w:rsidP="000641B9">
      <w:pPr>
        <w:pStyle w:val="ListParagraph"/>
        <w:numPr>
          <w:ilvl w:val="0"/>
          <w:numId w:val="6"/>
        </w:numPr>
        <w:ind w:left="1134" w:hanging="425"/>
        <w:jc w:val="both"/>
        <w:rPr>
          <w:rFonts w:cstheme="minorHAnsi"/>
        </w:rPr>
      </w:pPr>
      <w:r>
        <w:rPr>
          <w:rFonts w:cstheme="minorHAnsi"/>
        </w:rPr>
        <w:t>There is no evidence of co-operation with neighbouring councils</w:t>
      </w:r>
    </w:p>
    <w:p w14:paraId="2121C306" w14:textId="4645BD5A" w:rsidR="00230C24" w:rsidRDefault="00230C24" w:rsidP="000641B9">
      <w:pPr>
        <w:pStyle w:val="ListParagraph"/>
        <w:numPr>
          <w:ilvl w:val="0"/>
          <w:numId w:val="6"/>
        </w:numPr>
        <w:ind w:left="1134" w:hanging="425"/>
        <w:jc w:val="both"/>
        <w:rPr>
          <w:rFonts w:cstheme="minorHAnsi"/>
        </w:rPr>
      </w:pPr>
      <w:r>
        <w:rPr>
          <w:rFonts w:cstheme="minorHAnsi"/>
        </w:rPr>
        <w:t xml:space="preserve">There is no evidence of support from </w:t>
      </w:r>
      <w:r w:rsidR="00BF2599">
        <w:rPr>
          <w:rFonts w:cstheme="minorHAnsi"/>
        </w:rPr>
        <w:t>significant National bodies</w:t>
      </w:r>
    </w:p>
    <w:p w14:paraId="7C7DF724" w14:textId="67842B17" w:rsidR="004C7F7E" w:rsidRDefault="004C7F7E" w:rsidP="000641B9">
      <w:pPr>
        <w:pStyle w:val="ListParagraph"/>
        <w:numPr>
          <w:ilvl w:val="0"/>
          <w:numId w:val="6"/>
        </w:numPr>
        <w:ind w:left="1134" w:hanging="425"/>
        <w:jc w:val="both"/>
        <w:rPr>
          <w:rFonts w:cstheme="minorHAnsi"/>
        </w:rPr>
      </w:pPr>
      <w:r>
        <w:rPr>
          <w:rFonts w:cstheme="minorHAnsi"/>
        </w:rPr>
        <w:t xml:space="preserve">The proposal would call for </w:t>
      </w:r>
      <w:r w:rsidR="002714CA">
        <w:rPr>
          <w:rFonts w:cstheme="minorHAnsi"/>
        </w:rPr>
        <w:t xml:space="preserve">a </w:t>
      </w:r>
      <w:r>
        <w:rPr>
          <w:rFonts w:cstheme="minorHAnsi"/>
        </w:rPr>
        <w:t>significant re-modelling of the A14 to provide proper site access</w:t>
      </w:r>
    </w:p>
    <w:p w14:paraId="2B3A0E6F" w14:textId="3C5FEF69" w:rsidR="002848A8" w:rsidRDefault="00FF3416" w:rsidP="000641B9">
      <w:pPr>
        <w:pStyle w:val="ListParagraph"/>
        <w:numPr>
          <w:ilvl w:val="0"/>
          <w:numId w:val="6"/>
        </w:numPr>
        <w:ind w:left="1134" w:hanging="425"/>
        <w:jc w:val="both"/>
        <w:rPr>
          <w:rFonts w:cstheme="minorHAnsi"/>
        </w:rPr>
      </w:pPr>
      <w:r>
        <w:rPr>
          <w:rFonts w:cstheme="minorHAnsi"/>
        </w:rPr>
        <w:t>S</w:t>
      </w:r>
      <w:r w:rsidR="002848A8">
        <w:rPr>
          <w:rFonts w:cstheme="minorHAnsi"/>
        </w:rPr>
        <w:t>uch access would cost tens of milli</w:t>
      </w:r>
      <w:r w:rsidR="00D05CF1">
        <w:rPr>
          <w:rFonts w:cstheme="minorHAnsi"/>
        </w:rPr>
        <w:t xml:space="preserve">ons of pounds and there is no evidence </w:t>
      </w:r>
      <w:r>
        <w:rPr>
          <w:rFonts w:cstheme="minorHAnsi"/>
        </w:rPr>
        <w:t>of</w:t>
      </w:r>
      <w:r w:rsidR="00D05CF1">
        <w:rPr>
          <w:rFonts w:cstheme="minorHAnsi"/>
        </w:rPr>
        <w:t xml:space="preserve"> the willingness of any concerned party to </w:t>
      </w:r>
      <w:r w:rsidR="00D803A9">
        <w:rPr>
          <w:rFonts w:cstheme="minorHAnsi"/>
        </w:rPr>
        <w:t>absorb or even share</w:t>
      </w:r>
      <w:r w:rsidR="00D05CF1">
        <w:rPr>
          <w:rFonts w:cstheme="minorHAnsi"/>
        </w:rPr>
        <w:t xml:space="preserve"> this cost</w:t>
      </w:r>
    </w:p>
    <w:p w14:paraId="0F7B833A" w14:textId="652BA241" w:rsidR="00694DE2" w:rsidRDefault="00694DE2" w:rsidP="000641B9">
      <w:pPr>
        <w:pStyle w:val="ListParagraph"/>
        <w:numPr>
          <w:ilvl w:val="0"/>
          <w:numId w:val="6"/>
        </w:numPr>
        <w:ind w:left="1134" w:hanging="425"/>
        <w:jc w:val="both"/>
        <w:rPr>
          <w:rFonts w:cstheme="minorHAnsi"/>
        </w:rPr>
      </w:pPr>
      <w:r>
        <w:rPr>
          <w:rFonts w:cstheme="minorHAnsi"/>
        </w:rPr>
        <w:t>The site cannot be accessed by rail</w:t>
      </w:r>
      <w:r w:rsidR="0039177E">
        <w:rPr>
          <w:rFonts w:cstheme="minorHAnsi"/>
        </w:rPr>
        <w:t xml:space="preserve"> unless there was a similar huge investment</w:t>
      </w:r>
    </w:p>
    <w:p w14:paraId="55FC83E2" w14:textId="13E83614" w:rsidR="0039177E" w:rsidRDefault="002A7A2C" w:rsidP="000641B9">
      <w:pPr>
        <w:pStyle w:val="ListParagraph"/>
        <w:numPr>
          <w:ilvl w:val="0"/>
          <w:numId w:val="6"/>
        </w:numPr>
        <w:ind w:left="1134" w:hanging="425"/>
        <w:jc w:val="both"/>
        <w:rPr>
          <w:rFonts w:cstheme="minorHAnsi"/>
        </w:rPr>
      </w:pPr>
      <w:r>
        <w:rPr>
          <w:rFonts w:cstheme="minorHAnsi"/>
        </w:rPr>
        <w:t xml:space="preserve">Neither the Highways Agency nor </w:t>
      </w:r>
      <w:r w:rsidR="0039177E">
        <w:rPr>
          <w:rFonts w:cstheme="minorHAnsi"/>
        </w:rPr>
        <w:t>Netwo</w:t>
      </w:r>
      <w:r>
        <w:rPr>
          <w:rFonts w:cstheme="minorHAnsi"/>
        </w:rPr>
        <w:t>r</w:t>
      </w:r>
      <w:r w:rsidR="0039177E">
        <w:rPr>
          <w:rFonts w:cstheme="minorHAnsi"/>
        </w:rPr>
        <w:t>k R</w:t>
      </w:r>
      <w:r>
        <w:rPr>
          <w:rFonts w:cstheme="minorHAnsi"/>
        </w:rPr>
        <w:t xml:space="preserve">ail </w:t>
      </w:r>
      <w:r w:rsidR="00534E2C">
        <w:rPr>
          <w:rFonts w:cstheme="minorHAnsi"/>
        </w:rPr>
        <w:t xml:space="preserve">nor </w:t>
      </w:r>
      <w:r w:rsidR="005A7092">
        <w:rPr>
          <w:rFonts w:cstheme="minorHAnsi"/>
        </w:rPr>
        <w:t xml:space="preserve">the landowner, </w:t>
      </w:r>
      <w:r w:rsidR="00534E2C">
        <w:rPr>
          <w:rFonts w:cstheme="minorHAnsi"/>
        </w:rPr>
        <w:t>Trinity College</w:t>
      </w:r>
      <w:r w:rsidR="005A7092">
        <w:rPr>
          <w:rFonts w:cstheme="minorHAnsi"/>
        </w:rPr>
        <w:t xml:space="preserve">, </w:t>
      </w:r>
      <w:r>
        <w:rPr>
          <w:rFonts w:cstheme="minorHAnsi"/>
        </w:rPr>
        <w:t xml:space="preserve">have indicated any willingness to </w:t>
      </w:r>
      <w:r w:rsidR="00743044">
        <w:rPr>
          <w:rFonts w:cstheme="minorHAnsi"/>
        </w:rPr>
        <w:t>contribute</w:t>
      </w:r>
      <w:r>
        <w:rPr>
          <w:rFonts w:cstheme="minorHAnsi"/>
        </w:rPr>
        <w:t xml:space="preserve"> these costs</w:t>
      </w:r>
    </w:p>
    <w:p w14:paraId="430B2310" w14:textId="7E6690C4" w:rsidR="00091D2E" w:rsidRDefault="00030146" w:rsidP="000641B9">
      <w:pPr>
        <w:pStyle w:val="ListParagraph"/>
        <w:numPr>
          <w:ilvl w:val="0"/>
          <w:numId w:val="6"/>
        </w:numPr>
        <w:ind w:left="1134" w:hanging="425"/>
        <w:jc w:val="both"/>
        <w:rPr>
          <w:rFonts w:cstheme="minorHAnsi"/>
        </w:rPr>
      </w:pPr>
      <w:r>
        <w:rPr>
          <w:rFonts w:cstheme="minorHAnsi"/>
        </w:rPr>
        <w:t>The A14 is currently over-capacity</w:t>
      </w:r>
      <w:r w:rsidR="00251A7A">
        <w:rPr>
          <w:rFonts w:cstheme="minorHAnsi"/>
        </w:rPr>
        <w:t xml:space="preserve"> (SP10 of the previous Local Plan) </w:t>
      </w:r>
    </w:p>
    <w:p w14:paraId="3FCCA969" w14:textId="0D8B0596" w:rsidR="000674B4" w:rsidRDefault="000674B4" w:rsidP="000641B9">
      <w:pPr>
        <w:pStyle w:val="ListParagraph"/>
        <w:numPr>
          <w:ilvl w:val="0"/>
          <w:numId w:val="6"/>
        </w:numPr>
        <w:ind w:left="1134" w:hanging="425"/>
        <w:jc w:val="both"/>
        <w:rPr>
          <w:rFonts w:cstheme="minorHAnsi"/>
        </w:rPr>
      </w:pPr>
      <w:r>
        <w:rPr>
          <w:rFonts w:cstheme="minorHAnsi"/>
        </w:rPr>
        <w:t>A logistic facility to the East of the Orwell bridge</w:t>
      </w:r>
      <w:r w:rsidR="00917327">
        <w:rPr>
          <w:rFonts w:cstheme="minorHAnsi"/>
        </w:rPr>
        <w:t xml:space="preserve"> will exacerbate the problem of traffic over the </w:t>
      </w:r>
      <w:r w:rsidR="007B6902">
        <w:rPr>
          <w:rFonts w:cstheme="minorHAnsi"/>
        </w:rPr>
        <w:t>Orwell Bridge</w:t>
      </w:r>
    </w:p>
    <w:p w14:paraId="48BCCD5A" w14:textId="61704AC5" w:rsidR="00563550" w:rsidRPr="000D7EA7" w:rsidRDefault="007B6902" w:rsidP="000D7EA7">
      <w:pPr>
        <w:pStyle w:val="ListParagraph"/>
        <w:numPr>
          <w:ilvl w:val="0"/>
          <w:numId w:val="6"/>
        </w:numPr>
        <w:ind w:left="1134" w:hanging="425"/>
        <w:jc w:val="both"/>
        <w:rPr>
          <w:rFonts w:cstheme="minorHAnsi"/>
        </w:rPr>
      </w:pPr>
      <w:r>
        <w:rPr>
          <w:rFonts w:cstheme="minorHAnsi"/>
        </w:rPr>
        <w:t xml:space="preserve">Ipswich town centre traffic already grinds to a halt when the Orwell Bridge is </w:t>
      </w:r>
      <w:proofErr w:type="gramStart"/>
      <w:r>
        <w:rPr>
          <w:rFonts w:cstheme="minorHAnsi"/>
        </w:rPr>
        <w:t>closed</w:t>
      </w:r>
      <w:proofErr w:type="gramEnd"/>
      <w:r>
        <w:rPr>
          <w:rFonts w:cstheme="minorHAnsi"/>
        </w:rPr>
        <w:t xml:space="preserve"> </w:t>
      </w:r>
      <w:r w:rsidR="00045011">
        <w:rPr>
          <w:rFonts w:cstheme="minorHAnsi"/>
        </w:rPr>
        <w:t>and the problem would only get a great deal worse</w:t>
      </w:r>
    </w:p>
    <w:p w14:paraId="19947819" w14:textId="77777777" w:rsidR="00364414" w:rsidRDefault="00364414" w:rsidP="00563550">
      <w:pPr>
        <w:pStyle w:val="ListParagraph"/>
        <w:ind w:left="1134"/>
        <w:jc w:val="both"/>
        <w:rPr>
          <w:rFonts w:cstheme="minorHAnsi"/>
        </w:rPr>
      </w:pPr>
    </w:p>
    <w:p w14:paraId="65948CE0" w14:textId="5C71B582" w:rsidR="00563550" w:rsidRPr="00F766FC" w:rsidRDefault="00563550" w:rsidP="00563550">
      <w:pPr>
        <w:pStyle w:val="ListParagraph"/>
        <w:numPr>
          <w:ilvl w:val="0"/>
          <w:numId w:val="3"/>
        </w:numPr>
        <w:ind w:left="709" w:hanging="709"/>
        <w:jc w:val="both"/>
        <w:rPr>
          <w:rFonts w:cstheme="minorHAnsi"/>
          <w:u w:val="single"/>
        </w:rPr>
      </w:pPr>
      <w:r w:rsidRPr="00F766FC">
        <w:rPr>
          <w:rFonts w:cstheme="minorHAnsi"/>
          <w:u w:val="single"/>
        </w:rPr>
        <w:t>It is NOT “</w:t>
      </w:r>
      <w:r w:rsidR="00F766FC" w:rsidRPr="00F766FC">
        <w:rPr>
          <w:rFonts w:cstheme="minorHAnsi"/>
          <w:u w:val="single"/>
        </w:rPr>
        <w:t xml:space="preserve">Consistent </w:t>
      </w:r>
      <w:proofErr w:type="gramStart"/>
      <w:r w:rsidR="00F766FC" w:rsidRPr="00F766FC">
        <w:rPr>
          <w:rFonts w:cstheme="minorHAnsi"/>
          <w:u w:val="single"/>
        </w:rPr>
        <w:t>With</w:t>
      </w:r>
      <w:proofErr w:type="gramEnd"/>
      <w:r w:rsidR="00F766FC" w:rsidRPr="00F766FC">
        <w:rPr>
          <w:rFonts w:cstheme="minorHAnsi"/>
          <w:u w:val="single"/>
        </w:rPr>
        <w:t xml:space="preserve"> The NPPF 2018 Guidelines</w:t>
      </w:r>
      <w:r w:rsidRPr="00F766FC">
        <w:rPr>
          <w:rFonts w:cstheme="minorHAnsi"/>
          <w:u w:val="single"/>
        </w:rPr>
        <w:t>” because:</w:t>
      </w:r>
    </w:p>
    <w:p w14:paraId="0EED64E4" w14:textId="77777777" w:rsidR="00563550" w:rsidRDefault="00563550" w:rsidP="00563550">
      <w:pPr>
        <w:pStyle w:val="ListParagraph"/>
        <w:ind w:left="1134"/>
        <w:jc w:val="both"/>
        <w:rPr>
          <w:rFonts w:cstheme="minorHAnsi"/>
          <w:u w:val="single"/>
        </w:rPr>
      </w:pPr>
    </w:p>
    <w:p w14:paraId="1E7577C2" w14:textId="32873482" w:rsidR="00364414" w:rsidRDefault="00364414" w:rsidP="00364414">
      <w:pPr>
        <w:pStyle w:val="ListParagraph"/>
        <w:numPr>
          <w:ilvl w:val="0"/>
          <w:numId w:val="7"/>
        </w:numPr>
        <w:ind w:left="1134" w:hanging="425"/>
        <w:jc w:val="both"/>
        <w:rPr>
          <w:rFonts w:cstheme="minorHAnsi"/>
        </w:rPr>
      </w:pPr>
      <w:r>
        <w:rPr>
          <w:rFonts w:cstheme="minorHAnsi"/>
        </w:rPr>
        <w:t xml:space="preserve">All the above points combine to </w:t>
      </w:r>
      <w:r w:rsidR="00A6199A">
        <w:rPr>
          <w:rFonts w:cstheme="minorHAnsi"/>
        </w:rPr>
        <w:t>confirm</w:t>
      </w:r>
      <w:r>
        <w:rPr>
          <w:rFonts w:cstheme="minorHAnsi"/>
        </w:rPr>
        <w:t xml:space="preserve"> </w:t>
      </w:r>
      <w:r w:rsidR="004A67ED">
        <w:rPr>
          <w:rFonts w:cstheme="minorHAnsi"/>
        </w:rPr>
        <w:t>SCLP 12.35</w:t>
      </w:r>
      <w:r>
        <w:rPr>
          <w:rFonts w:cstheme="minorHAnsi"/>
        </w:rPr>
        <w:t xml:space="preserve"> is undeliverable</w:t>
      </w:r>
      <w:r w:rsidR="00CC1A41">
        <w:rPr>
          <w:rFonts w:cstheme="minorHAnsi"/>
        </w:rPr>
        <w:t>; additionally</w:t>
      </w:r>
      <w:r w:rsidR="00B50CD3">
        <w:rPr>
          <w:rFonts w:cstheme="minorHAnsi"/>
        </w:rPr>
        <w:t>,</w:t>
      </w:r>
    </w:p>
    <w:p w14:paraId="4FA4E596" w14:textId="21522BEF" w:rsidR="00563550" w:rsidRDefault="0094039F" w:rsidP="00563550">
      <w:pPr>
        <w:pStyle w:val="ListParagraph"/>
        <w:numPr>
          <w:ilvl w:val="0"/>
          <w:numId w:val="7"/>
        </w:numPr>
        <w:ind w:left="1134" w:hanging="425"/>
        <w:jc w:val="both"/>
        <w:rPr>
          <w:rFonts w:cstheme="minorHAnsi"/>
        </w:rPr>
      </w:pPr>
      <w:r>
        <w:rPr>
          <w:rFonts w:cstheme="minorHAnsi"/>
        </w:rPr>
        <w:t>As stated above</w:t>
      </w:r>
      <w:r w:rsidR="007B668C">
        <w:rPr>
          <w:rFonts w:cstheme="minorHAnsi"/>
        </w:rPr>
        <w:t>, Innocence Farm conflicts with NPPF</w:t>
      </w:r>
      <w:r w:rsidR="006D2C9C">
        <w:rPr>
          <w:rFonts w:cstheme="minorHAnsi"/>
        </w:rPr>
        <w:t xml:space="preserve"> paragraph 118</w:t>
      </w:r>
    </w:p>
    <w:p w14:paraId="686C2FD0" w14:textId="71A5851E" w:rsidR="00596D50" w:rsidRDefault="00596D50" w:rsidP="00563550">
      <w:pPr>
        <w:pStyle w:val="ListParagraph"/>
        <w:numPr>
          <w:ilvl w:val="0"/>
          <w:numId w:val="7"/>
        </w:numPr>
        <w:ind w:left="1134" w:hanging="425"/>
        <w:jc w:val="both"/>
        <w:rPr>
          <w:rFonts w:cstheme="minorHAnsi"/>
        </w:rPr>
      </w:pPr>
      <w:r>
        <w:rPr>
          <w:rFonts w:cstheme="minorHAnsi"/>
        </w:rPr>
        <w:t>The Interim Sustainability Appraisal</w:t>
      </w:r>
      <w:r w:rsidR="00DC3973">
        <w:rPr>
          <w:rFonts w:cstheme="minorHAnsi"/>
        </w:rPr>
        <w:t xml:space="preserve"> and Final Plan both ignore </w:t>
      </w:r>
      <w:r w:rsidR="00143B2E">
        <w:rPr>
          <w:rFonts w:cstheme="minorHAnsi"/>
        </w:rPr>
        <w:t>light, noise and particulate pollution</w:t>
      </w:r>
      <w:r w:rsidR="00B954B2">
        <w:rPr>
          <w:rFonts w:cstheme="minorHAnsi"/>
        </w:rPr>
        <w:t xml:space="preserve"> if </w:t>
      </w:r>
      <w:r w:rsidR="00613355">
        <w:rPr>
          <w:rFonts w:cstheme="minorHAnsi"/>
        </w:rPr>
        <w:t>th</w:t>
      </w:r>
      <w:r w:rsidR="00B954B2">
        <w:rPr>
          <w:rFonts w:cstheme="minorHAnsi"/>
        </w:rPr>
        <w:t>ere is a change of use from agricultural to some other usage</w:t>
      </w:r>
    </w:p>
    <w:p w14:paraId="75F0BEF0" w14:textId="405B1044" w:rsidR="003D1297" w:rsidRDefault="003D1297" w:rsidP="00563550">
      <w:pPr>
        <w:pStyle w:val="ListParagraph"/>
        <w:numPr>
          <w:ilvl w:val="0"/>
          <w:numId w:val="7"/>
        </w:numPr>
        <w:ind w:left="1134" w:hanging="425"/>
        <w:jc w:val="both"/>
        <w:rPr>
          <w:rFonts w:cstheme="minorHAnsi"/>
        </w:rPr>
      </w:pPr>
      <w:r>
        <w:rPr>
          <w:rFonts w:cstheme="minorHAnsi"/>
        </w:rPr>
        <w:t xml:space="preserve">There is no acknowledgement that </w:t>
      </w:r>
      <w:r w:rsidR="005671C1">
        <w:rPr>
          <w:rFonts w:cstheme="minorHAnsi"/>
        </w:rPr>
        <w:t>300 acres of prime agricultural land is to be sacrificed</w:t>
      </w:r>
    </w:p>
    <w:p w14:paraId="008BD11B" w14:textId="7A300C3F" w:rsidR="005671C1" w:rsidRDefault="005671C1" w:rsidP="00563550">
      <w:pPr>
        <w:pStyle w:val="ListParagraph"/>
        <w:numPr>
          <w:ilvl w:val="0"/>
          <w:numId w:val="7"/>
        </w:numPr>
        <w:ind w:left="1134" w:hanging="425"/>
        <w:jc w:val="both"/>
        <w:rPr>
          <w:rFonts w:cstheme="minorHAnsi"/>
        </w:rPr>
      </w:pPr>
      <w:r>
        <w:rPr>
          <w:rFonts w:cstheme="minorHAnsi"/>
        </w:rPr>
        <w:t>There</w:t>
      </w:r>
      <w:r w:rsidR="00D11DE4">
        <w:rPr>
          <w:rFonts w:cstheme="minorHAnsi"/>
        </w:rPr>
        <w:t xml:space="preserve"> is no mention of a survey of the habitats</w:t>
      </w:r>
      <w:r w:rsidR="00E646AE">
        <w:rPr>
          <w:rFonts w:cstheme="minorHAnsi"/>
        </w:rPr>
        <w:t xml:space="preserve"> likely to be lost nor the damage the environment is likely to sustain</w:t>
      </w:r>
    </w:p>
    <w:p w14:paraId="09702F8A" w14:textId="20E4F73B" w:rsidR="006D2C9C" w:rsidRDefault="00FE2C9E" w:rsidP="00563550">
      <w:pPr>
        <w:pStyle w:val="ListParagraph"/>
        <w:numPr>
          <w:ilvl w:val="0"/>
          <w:numId w:val="7"/>
        </w:numPr>
        <w:ind w:left="1134" w:hanging="425"/>
        <w:jc w:val="both"/>
        <w:rPr>
          <w:rFonts w:cstheme="minorHAnsi"/>
        </w:rPr>
      </w:pPr>
      <w:r>
        <w:rPr>
          <w:rFonts w:cstheme="minorHAnsi"/>
        </w:rPr>
        <w:t xml:space="preserve">The </w:t>
      </w:r>
      <w:r w:rsidR="007860FD">
        <w:rPr>
          <w:rFonts w:cstheme="minorHAnsi"/>
        </w:rPr>
        <w:t xml:space="preserve">Interim Sustainability Appraisal indicates a </w:t>
      </w:r>
      <w:r w:rsidR="00B36375">
        <w:rPr>
          <w:rFonts w:cstheme="minorHAnsi"/>
        </w:rPr>
        <w:t>‘neutral’ rating</w:t>
      </w:r>
      <w:r w:rsidR="000D730A">
        <w:rPr>
          <w:rFonts w:cstheme="minorHAnsi"/>
        </w:rPr>
        <w:t xml:space="preserve"> for “improving health”</w:t>
      </w:r>
      <w:r w:rsidR="00CA2ECB">
        <w:rPr>
          <w:rFonts w:cstheme="minorHAnsi"/>
        </w:rPr>
        <w:t xml:space="preserve">.  </w:t>
      </w:r>
      <w:r w:rsidR="008D5798">
        <w:rPr>
          <w:rFonts w:cstheme="minorHAnsi"/>
        </w:rPr>
        <w:t>T</w:t>
      </w:r>
      <w:r w:rsidR="00CA2ECB">
        <w:rPr>
          <w:rFonts w:cstheme="minorHAnsi"/>
        </w:rPr>
        <w:t>his cannot be</w:t>
      </w:r>
      <w:r w:rsidR="00613355">
        <w:rPr>
          <w:rFonts w:cstheme="minorHAnsi"/>
        </w:rPr>
        <w:t xml:space="preserve"> true</w:t>
      </w:r>
      <w:r w:rsidR="006D79D9">
        <w:rPr>
          <w:rFonts w:cstheme="minorHAnsi"/>
        </w:rPr>
        <w:t>,</w:t>
      </w:r>
      <w:r w:rsidR="008D5798">
        <w:rPr>
          <w:rFonts w:cstheme="minorHAnsi"/>
        </w:rPr>
        <w:t xml:space="preserve"> whatever the alternative use</w:t>
      </w:r>
      <w:r w:rsidR="00314C75">
        <w:rPr>
          <w:rFonts w:cstheme="minorHAnsi"/>
        </w:rPr>
        <w:t xml:space="preserve">. </w:t>
      </w:r>
      <w:r w:rsidR="00CD7A24">
        <w:rPr>
          <w:rFonts w:cstheme="minorHAnsi"/>
        </w:rPr>
        <w:t xml:space="preserve"> </w:t>
      </w:r>
      <w:r w:rsidR="005028BA">
        <w:rPr>
          <w:rFonts w:cstheme="minorHAnsi"/>
        </w:rPr>
        <w:t>Kirton village will be in the front</w:t>
      </w:r>
      <w:r w:rsidR="00CD7A24">
        <w:rPr>
          <w:rFonts w:cstheme="minorHAnsi"/>
        </w:rPr>
        <w:t>-</w:t>
      </w:r>
      <w:r w:rsidR="005028BA">
        <w:rPr>
          <w:rFonts w:cstheme="minorHAnsi"/>
        </w:rPr>
        <w:t>line of the resultant pollution</w:t>
      </w:r>
    </w:p>
    <w:p w14:paraId="6898B813" w14:textId="5E006575" w:rsidR="00E6197E" w:rsidRDefault="00E6197E" w:rsidP="00563550">
      <w:pPr>
        <w:pStyle w:val="ListParagraph"/>
        <w:numPr>
          <w:ilvl w:val="0"/>
          <w:numId w:val="7"/>
        </w:numPr>
        <w:ind w:left="1134" w:hanging="425"/>
        <w:jc w:val="both"/>
        <w:rPr>
          <w:rFonts w:cstheme="minorHAnsi"/>
        </w:rPr>
      </w:pPr>
      <w:r>
        <w:rPr>
          <w:rFonts w:cstheme="minorHAnsi"/>
        </w:rPr>
        <w:t>No mention has been made of the prevailing</w:t>
      </w:r>
      <w:r w:rsidR="00E35D58">
        <w:rPr>
          <w:rFonts w:cstheme="minorHAnsi"/>
        </w:rPr>
        <w:t xml:space="preserve"> south-westerly wind that sweeps the village </w:t>
      </w:r>
      <w:r w:rsidR="004D0612">
        <w:rPr>
          <w:rFonts w:cstheme="minorHAnsi"/>
        </w:rPr>
        <w:t>and its primary school</w:t>
      </w:r>
      <w:r w:rsidR="00CD7A24">
        <w:rPr>
          <w:rFonts w:cstheme="minorHAnsi"/>
        </w:rPr>
        <w:t xml:space="preserve">, for </w:t>
      </w:r>
      <w:r w:rsidR="00E35D58">
        <w:rPr>
          <w:rFonts w:cstheme="minorHAnsi"/>
        </w:rPr>
        <w:t>most of the time</w:t>
      </w:r>
    </w:p>
    <w:p w14:paraId="23D08817" w14:textId="51CB5906" w:rsidR="00AA60A9" w:rsidRDefault="0008784C" w:rsidP="00563550">
      <w:pPr>
        <w:pStyle w:val="ListParagraph"/>
        <w:numPr>
          <w:ilvl w:val="0"/>
          <w:numId w:val="7"/>
        </w:numPr>
        <w:ind w:left="1134" w:hanging="425"/>
        <w:jc w:val="both"/>
        <w:rPr>
          <w:rFonts w:cstheme="minorHAnsi"/>
        </w:rPr>
      </w:pPr>
      <w:r>
        <w:rPr>
          <w:rFonts w:cstheme="minorHAnsi"/>
        </w:rPr>
        <w:t xml:space="preserve">Trimley Primary School </w:t>
      </w:r>
      <w:r w:rsidR="0016036F">
        <w:rPr>
          <w:rFonts w:cstheme="minorHAnsi"/>
        </w:rPr>
        <w:t xml:space="preserve">is situated close </w:t>
      </w:r>
      <w:r>
        <w:rPr>
          <w:rFonts w:cstheme="minorHAnsi"/>
        </w:rPr>
        <w:t>to the site</w:t>
      </w:r>
      <w:r w:rsidR="0016036F">
        <w:rPr>
          <w:rFonts w:cstheme="minorHAnsi"/>
        </w:rPr>
        <w:t>. T</w:t>
      </w:r>
      <w:r w:rsidR="003D678F">
        <w:rPr>
          <w:rFonts w:cstheme="minorHAnsi"/>
        </w:rPr>
        <w:t xml:space="preserve">he only </w:t>
      </w:r>
      <w:r w:rsidR="009532EE">
        <w:rPr>
          <w:rFonts w:cstheme="minorHAnsi"/>
        </w:rPr>
        <w:t>evidence SCDC has</w:t>
      </w:r>
      <w:r w:rsidR="00AA60A9">
        <w:rPr>
          <w:rFonts w:cstheme="minorHAnsi"/>
        </w:rPr>
        <w:t xml:space="preserve"> taken</w:t>
      </w:r>
      <w:r w:rsidR="009532EE">
        <w:rPr>
          <w:rFonts w:cstheme="minorHAnsi"/>
        </w:rPr>
        <w:t xml:space="preserve"> account</w:t>
      </w:r>
      <w:r w:rsidR="00AA60A9">
        <w:rPr>
          <w:rFonts w:cstheme="minorHAnsi"/>
        </w:rPr>
        <w:t xml:space="preserve"> of widespread research showing</w:t>
      </w:r>
      <w:r w:rsidR="004D51A1">
        <w:rPr>
          <w:rFonts w:cstheme="minorHAnsi"/>
        </w:rPr>
        <w:t xml:space="preserve"> schoolchildren are particularly </w:t>
      </w:r>
      <w:r w:rsidR="003D678F">
        <w:rPr>
          <w:rFonts w:cstheme="minorHAnsi"/>
        </w:rPr>
        <w:t>prone</w:t>
      </w:r>
      <w:r w:rsidR="00780295">
        <w:rPr>
          <w:rFonts w:cstheme="minorHAnsi"/>
        </w:rPr>
        <w:t xml:space="preserve"> to the effects of pollution</w:t>
      </w:r>
      <w:r w:rsidR="0016036F">
        <w:rPr>
          <w:rFonts w:cstheme="minorHAnsi"/>
        </w:rPr>
        <w:t>, is a proposal to close</w:t>
      </w:r>
      <w:r w:rsidR="00FE20FB">
        <w:rPr>
          <w:rFonts w:cstheme="minorHAnsi"/>
        </w:rPr>
        <w:t xml:space="preserve"> / re-locate the school</w:t>
      </w:r>
    </w:p>
    <w:p w14:paraId="012313F9" w14:textId="46554294" w:rsidR="00FE20FB" w:rsidRDefault="003A6B78" w:rsidP="00563550">
      <w:pPr>
        <w:pStyle w:val="ListParagraph"/>
        <w:numPr>
          <w:ilvl w:val="0"/>
          <w:numId w:val="7"/>
        </w:numPr>
        <w:ind w:left="1134" w:hanging="425"/>
        <w:jc w:val="both"/>
        <w:rPr>
          <w:rFonts w:cstheme="minorHAnsi"/>
        </w:rPr>
      </w:pPr>
      <w:r>
        <w:rPr>
          <w:rFonts w:cstheme="minorHAnsi"/>
        </w:rPr>
        <w:t xml:space="preserve">Closing or moving the school will cause </w:t>
      </w:r>
      <w:r w:rsidR="00206EE5">
        <w:rPr>
          <w:rFonts w:cstheme="minorHAnsi"/>
        </w:rPr>
        <w:t>a considerable problem to the many parents</w:t>
      </w:r>
      <w:r w:rsidR="00177A6B">
        <w:rPr>
          <w:rFonts w:cstheme="minorHAnsi"/>
        </w:rPr>
        <w:t xml:space="preserve"> from North-East Kirton</w:t>
      </w:r>
      <w:r w:rsidR="00FE4CAF">
        <w:rPr>
          <w:rFonts w:cstheme="minorHAnsi"/>
        </w:rPr>
        <w:t>,</w:t>
      </w:r>
      <w:r w:rsidR="00177A6B">
        <w:rPr>
          <w:rFonts w:cstheme="minorHAnsi"/>
        </w:rPr>
        <w:t xml:space="preserve"> for whom the existing school is </w:t>
      </w:r>
      <w:r w:rsidR="00FE4CAF">
        <w:rPr>
          <w:rFonts w:cstheme="minorHAnsi"/>
        </w:rPr>
        <w:t>at the limit of their walking distance</w:t>
      </w:r>
    </w:p>
    <w:p w14:paraId="3D6D2558" w14:textId="2CC82204" w:rsidR="00CA2C4F" w:rsidRDefault="00CA2C4F" w:rsidP="00563550">
      <w:pPr>
        <w:pStyle w:val="ListParagraph"/>
        <w:numPr>
          <w:ilvl w:val="0"/>
          <w:numId w:val="7"/>
        </w:numPr>
        <w:ind w:left="1134" w:hanging="425"/>
        <w:jc w:val="both"/>
        <w:rPr>
          <w:rFonts w:cstheme="minorHAnsi"/>
        </w:rPr>
      </w:pPr>
      <w:r>
        <w:rPr>
          <w:rFonts w:cstheme="minorHAnsi"/>
        </w:rPr>
        <w:t xml:space="preserve">It will not be possible to mitigate the effects of increased pollution, whatever </w:t>
      </w:r>
      <w:r w:rsidR="00DB6396">
        <w:rPr>
          <w:rFonts w:cstheme="minorHAnsi"/>
        </w:rPr>
        <w:t>its extent or</w:t>
      </w:r>
      <w:r>
        <w:rPr>
          <w:rFonts w:cstheme="minorHAnsi"/>
        </w:rPr>
        <w:t xml:space="preserve"> cause.</w:t>
      </w:r>
    </w:p>
    <w:p w14:paraId="14CDB35F" w14:textId="3F9692CB" w:rsidR="00FF1E43" w:rsidRDefault="00FF1E43" w:rsidP="00563550">
      <w:pPr>
        <w:pStyle w:val="ListParagraph"/>
        <w:numPr>
          <w:ilvl w:val="0"/>
          <w:numId w:val="7"/>
        </w:numPr>
        <w:ind w:left="1134" w:hanging="425"/>
        <w:jc w:val="both"/>
        <w:rPr>
          <w:rFonts w:cstheme="minorHAnsi"/>
        </w:rPr>
      </w:pPr>
      <w:r>
        <w:rPr>
          <w:rFonts w:cstheme="minorHAnsi"/>
        </w:rPr>
        <w:t>To permit a development certain to raise</w:t>
      </w:r>
      <w:r w:rsidR="004F35B0">
        <w:rPr>
          <w:rFonts w:cstheme="minorHAnsi"/>
        </w:rPr>
        <w:t xml:space="preserve"> </w:t>
      </w:r>
      <w:r w:rsidR="00FA422C">
        <w:rPr>
          <w:rFonts w:cstheme="minorHAnsi"/>
        </w:rPr>
        <w:t>levels of sulphur dioxide, nitrogen dioxide</w:t>
      </w:r>
      <w:r w:rsidR="002F15B4">
        <w:rPr>
          <w:rFonts w:cstheme="minorHAnsi"/>
        </w:rPr>
        <w:t>, benzene, carbon monoxide</w:t>
      </w:r>
      <w:r w:rsidR="00A31946">
        <w:rPr>
          <w:rFonts w:cstheme="minorHAnsi"/>
        </w:rPr>
        <w:t>,</w:t>
      </w:r>
      <w:r w:rsidR="003B5D62">
        <w:rPr>
          <w:rFonts w:cstheme="minorHAnsi"/>
        </w:rPr>
        <w:t xml:space="preserve"> lead and PM</w:t>
      </w:r>
      <w:r w:rsidR="003B5D62" w:rsidRPr="003B5D62">
        <w:rPr>
          <w:rFonts w:cstheme="minorHAnsi"/>
          <w:sz w:val="16"/>
          <w:szCs w:val="16"/>
        </w:rPr>
        <w:t>10</w:t>
      </w:r>
      <w:r w:rsidR="003B5D62">
        <w:rPr>
          <w:rFonts w:cstheme="minorHAnsi"/>
        </w:rPr>
        <w:t xml:space="preserve"> in </w:t>
      </w:r>
      <w:r w:rsidR="00854039">
        <w:rPr>
          <w:rFonts w:cstheme="minorHAnsi"/>
        </w:rPr>
        <w:t>ambient air would be grossly irresponsible</w:t>
      </w:r>
    </w:p>
    <w:p w14:paraId="2230D3A0" w14:textId="788B3798" w:rsidR="008D4A1C" w:rsidRDefault="008D4A1C" w:rsidP="00563550">
      <w:pPr>
        <w:pStyle w:val="ListParagraph"/>
        <w:numPr>
          <w:ilvl w:val="0"/>
          <w:numId w:val="7"/>
        </w:numPr>
        <w:ind w:left="1134" w:hanging="425"/>
        <w:jc w:val="both"/>
        <w:rPr>
          <w:rFonts w:cstheme="minorHAnsi"/>
        </w:rPr>
      </w:pPr>
      <w:r>
        <w:rPr>
          <w:rFonts w:cstheme="minorHAnsi"/>
        </w:rPr>
        <w:t>The risk to health</w:t>
      </w:r>
      <w:r w:rsidR="0082772E">
        <w:rPr>
          <w:rFonts w:cstheme="minorHAnsi"/>
        </w:rPr>
        <w:t>, particularly that of the elderly and schoolchildren would be unacceptably high</w:t>
      </w:r>
    </w:p>
    <w:p w14:paraId="0FE0C5DF" w14:textId="44A023CD" w:rsidR="00AD28C6" w:rsidRDefault="00AD28C6" w:rsidP="00563550">
      <w:pPr>
        <w:pStyle w:val="ListParagraph"/>
        <w:numPr>
          <w:ilvl w:val="0"/>
          <w:numId w:val="7"/>
        </w:numPr>
        <w:ind w:left="1134" w:hanging="425"/>
        <w:jc w:val="both"/>
        <w:rPr>
          <w:rFonts w:cstheme="minorHAnsi"/>
        </w:rPr>
      </w:pPr>
      <w:r>
        <w:rPr>
          <w:rFonts w:cstheme="minorHAnsi"/>
        </w:rPr>
        <w:t xml:space="preserve">The proposal </w:t>
      </w:r>
      <w:r w:rsidR="00AE2F7B">
        <w:rPr>
          <w:rFonts w:cstheme="minorHAnsi"/>
        </w:rPr>
        <w:t>would increase significantly</w:t>
      </w:r>
      <w:r w:rsidR="0023705E">
        <w:rPr>
          <w:rFonts w:cstheme="minorHAnsi"/>
        </w:rPr>
        <w:t xml:space="preserve"> the merging of Ipswich and Felixstowe by way of a ribbon development along the A14 corridor.</w:t>
      </w:r>
    </w:p>
    <w:p w14:paraId="4E8A49E9" w14:textId="1813DCC7" w:rsidR="0023705E" w:rsidRDefault="0023705E" w:rsidP="00563550">
      <w:pPr>
        <w:pStyle w:val="ListParagraph"/>
        <w:numPr>
          <w:ilvl w:val="0"/>
          <w:numId w:val="7"/>
        </w:numPr>
        <w:ind w:left="1134" w:hanging="425"/>
        <w:jc w:val="both"/>
        <w:rPr>
          <w:rFonts w:cstheme="minorHAnsi"/>
        </w:rPr>
      </w:pPr>
      <w:r>
        <w:rPr>
          <w:rFonts w:cstheme="minorHAnsi"/>
        </w:rPr>
        <w:t>To date</w:t>
      </w:r>
      <w:r w:rsidR="000C38E5">
        <w:rPr>
          <w:rFonts w:cstheme="minorHAnsi"/>
        </w:rPr>
        <w:t>, it has been a well-publicised strategic objective of SCDC to</w:t>
      </w:r>
      <w:r w:rsidR="002C2D79">
        <w:rPr>
          <w:rFonts w:cstheme="minorHAnsi"/>
        </w:rPr>
        <w:t xml:space="preserve"> maintain a geographical separation of these two towns</w:t>
      </w:r>
      <w:r w:rsidR="00DC4136">
        <w:rPr>
          <w:rFonts w:cstheme="minorHAnsi"/>
        </w:rPr>
        <w:t>.</w:t>
      </w:r>
    </w:p>
    <w:p w14:paraId="4D098C5F" w14:textId="5C93385B" w:rsidR="00440251" w:rsidRPr="00440251" w:rsidRDefault="00440251" w:rsidP="00440251">
      <w:pPr>
        <w:jc w:val="both"/>
        <w:rPr>
          <w:rFonts w:cstheme="minorHAnsi"/>
        </w:rPr>
      </w:pPr>
      <w:r>
        <w:rPr>
          <w:rFonts w:cstheme="minorHAnsi"/>
        </w:rPr>
        <w:lastRenderedPageBreak/>
        <w:t>In view of all the above, we would ask the Inspector to conclude SCLP12.35</w:t>
      </w:r>
      <w:r w:rsidR="00B3101B">
        <w:rPr>
          <w:rFonts w:cstheme="minorHAnsi"/>
        </w:rPr>
        <w:t>, as proposed within the Local Plan, is unlawful</w:t>
      </w:r>
      <w:r w:rsidR="00F73683">
        <w:rPr>
          <w:rFonts w:cstheme="minorHAnsi"/>
        </w:rPr>
        <w:t xml:space="preserve"> and fails all four of the tests for soundness.</w:t>
      </w:r>
    </w:p>
    <w:p w14:paraId="46838039" w14:textId="77777777" w:rsidR="008B79C9" w:rsidRDefault="008B79C9" w:rsidP="004C7F7E">
      <w:pPr>
        <w:jc w:val="both"/>
        <w:rPr>
          <w:rFonts w:cstheme="minorHAnsi"/>
          <w:b/>
          <w:sz w:val="28"/>
          <w:szCs w:val="28"/>
        </w:rPr>
      </w:pPr>
    </w:p>
    <w:p w14:paraId="0149B691" w14:textId="5E037A9B" w:rsidR="004C7F7E" w:rsidRPr="00C03A7B" w:rsidRDefault="00C03A7B" w:rsidP="004C7F7E">
      <w:pPr>
        <w:jc w:val="both"/>
        <w:rPr>
          <w:rFonts w:cstheme="minorHAnsi"/>
          <w:b/>
          <w:sz w:val="28"/>
          <w:szCs w:val="28"/>
        </w:rPr>
      </w:pPr>
      <w:r w:rsidRPr="00C03A7B">
        <w:rPr>
          <w:rFonts w:cstheme="minorHAnsi"/>
          <w:b/>
          <w:sz w:val="28"/>
          <w:szCs w:val="28"/>
        </w:rPr>
        <w:t>Part II</w:t>
      </w:r>
    </w:p>
    <w:p w14:paraId="1E8AC8DE" w14:textId="77777777" w:rsidR="00202052" w:rsidRPr="00DD4C00" w:rsidRDefault="00202052" w:rsidP="00202052">
      <w:pPr>
        <w:contextualSpacing/>
        <w:jc w:val="both"/>
        <w:rPr>
          <w:rFonts w:cstheme="minorHAnsi"/>
          <w:b/>
        </w:rPr>
      </w:pPr>
      <w:r w:rsidRPr="00DD4C00">
        <w:rPr>
          <w:rFonts w:cstheme="minorHAnsi"/>
          <w:b/>
        </w:rPr>
        <w:t>SCLP 12.65 – LAND OFF HOWLETT WAY – ALLOCATION CARRIED FORWARD FROM THE FELIXSTOWE PENISULAR ACTION PLAN – 360 DWELLINGS</w:t>
      </w:r>
    </w:p>
    <w:p w14:paraId="4D48B9AD" w14:textId="77777777" w:rsidR="00202052" w:rsidRPr="00DD4C00" w:rsidRDefault="00202052" w:rsidP="00202052">
      <w:pPr>
        <w:contextualSpacing/>
        <w:jc w:val="both"/>
        <w:rPr>
          <w:rFonts w:cstheme="minorHAnsi"/>
          <w:b/>
        </w:rPr>
      </w:pPr>
    </w:p>
    <w:p w14:paraId="7A07F132" w14:textId="77777777" w:rsidR="00202052" w:rsidRPr="00DD4C00" w:rsidRDefault="00202052" w:rsidP="00202052">
      <w:pPr>
        <w:contextualSpacing/>
        <w:jc w:val="both"/>
        <w:rPr>
          <w:rFonts w:cstheme="minorHAnsi"/>
          <w:b/>
        </w:rPr>
      </w:pPr>
      <w:r w:rsidRPr="00DD4C00">
        <w:rPr>
          <w:rFonts w:cstheme="minorHAnsi"/>
          <w:b/>
        </w:rPr>
        <w:t>12.66 – LAND ADJACENT TO REEVE LODGE – 150 DWELLINGS AND TRIMLEY ST MARTIN PRIMARY SCHOOL FOR 400 STUDENTS</w:t>
      </w:r>
    </w:p>
    <w:p w14:paraId="1DBCF2B8" w14:textId="77777777" w:rsidR="00202052" w:rsidRPr="00F84AFB" w:rsidRDefault="00202052" w:rsidP="00202052">
      <w:pPr>
        <w:contextualSpacing/>
        <w:jc w:val="both"/>
        <w:rPr>
          <w:rFonts w:cstheme="minorHAnsi"/>
        </w:rPr>
      </w:pPr>
    </w:p>
    <w:p w14:paraId="74B83184" w14:textId="77777777" w:rsidR="00202052" w:rsidRDefault="00202052" w:rsidP="00202052">
      <w:pPr>
        <w:contextualSpacing/>
        <w:jc w:val="both"/>
        <w:rPr>
          <w:rFonts w:cstheme="minorHAnsi"/>
        </w:rPr>
      </w:pPr>
      <w:r w:rsidRPr="00F84AFB">
        <w:rPr>
          <w:rFonts w:cstheme="minorHAnsi"/>
        </w:rPr>
        <w:t xml:space="preserve">In our view, there has been a failure to </w:t>
      </w:r>
      <w:r>
        <w:rPr>
          <w:rFonts w:cstheme="minorHAnsi"/>
        </w:rPr>
        <w:t xml:space="preserve">properly </w:t>
      </w:r>
      <w:r w:rsidRPr="00F84AFB">
        <w:rPr>
          <w:rFonts w:cstheme="minorHAnsi"/>
        </w:rPr>
        <w:t>co-operate</w:t>
      </w:r>
      <w:r>
        <w:rPr>
          <w:rFonts w:cstheme="minorHAnsi"/>
        </w:rPr>
        <w:t xml:space="preserve"> and each of the proposals is fundamentally unsound.</w:t>
      </w:r>
    </w:p>
    <w:p w14:paraId="63E7002F" w14:textId="77777777" w:rsidR="00202052" w:rsidRDefault="00202052" w:rsidP="00202052">
      <w:pPr>
        <w:contextualSpacing/>
        <w:jc w:val="both"/>
        <w:rPr>
          <w:rFonts w:cstheme="minorHAnsi"/>
        </w:rPr>
      </w:pPr>
    </w:p>
    <w:p w14:paraId="2FFF0955" w14:textId="77777777" w:rsidR="00202052" w:rsidRDefault="00202052" w:rsidP="00202052">
      <w:pPr>
        <w:contextualSpacing/>
        <w:jc w:val="both"/>
        <w:rPr>
          <w:rFonts w:cstheme="minorHAnsi"/>
        </w:rPr>
      </w:pPr>
      <w:r>
        <w:rPr>
          <w:rFonts w:cstheme="minorHAnsi"/>
        </w:rPr>
        <w:t>SCDC have not fulfilled their duty to co-operate</w:t>
      </w:r>
    </w:p>
    <w:p w14:paraId="41024B5E" w14:textId="6CE3B112" w:rsidR="00202052" w:rsidRDefault="00202052" w:rsidP="00E80B80">
      <w:pPr>
        <w:pStyle w:val="ListParagraph"/>
        <w:numPr>
          <w:ilvl w:val="0"/>
          <w:numId w:val="1"/>
        </w:numPr>
        <w:jc w:val="both"/>
        <w:rPr>
          <w:rFonts w:cstheme="minorHAnsi"/>
        </w:rPr>
      </w:pPr>
      <w:r w:rsidRPr="005F7A65">
        <w:rPr>
          <w:rFonts w:cstheme="minorHAnsi"/>
        </w:rPr>
        <w:t>There appears to have been no meaningful co-operation between neighbouring councils as evidenced by the minutes of (</w:t>
      </w:r>
      <w:proofErr w:type="spellStart"/>
      <w:r w:rsidRPr="005F7A65">
        <w:rPr>
          <w:rFonts w:cstheme="minorHAnsi"/>
        </w:rPr>
        <w:t>i</w:t>
      </w:r>
      <w:proofErr w:type="spellEnd"/>
      <w:r w:rsidRPr="005F7A65">
        <w:rPr>
          <w:rFonts w:cstheme="minorHAnsi"/>
        </w:rPr>
        <w:t>) SCDC’s Local Plan Working Group or (ii) the Ipswich Strategic Planning Area Forum</w:t>
      </w:r>
    </w:p>
    <w:p w14:paraId="21DB7187" w14:textId="5193496D" w:rsidR="00202052" w:rsidRDefault="00202052" w:rsidP="00E80B80">
      <w:pPr>
        <w:pStyle w:val="ListParagraph"/>
        <w:numPr>
          <w:ilvl w:val="0"/>
          <w:numId w:val="1"/>
        </w:numPr>
        <w:jc w:val="both"/>
        <w:rPr>
          <w:rFonts w:cstheme="minorHAnsi"/>
        </w:rPr>
      </w:pPr>
      <w:r>
        <w:rPr>
          <w:rFonts w:cstheme="minorHAnsi"/>
        </w:rPr>
        <w:t xml:space="preserve">The current failure to co-operate contrasts starkly with the consultation that took place ahead of publication of the 2008 </w:t>
      </w:r>
      <w:r w:rsidR="009B5569">
        <w:rPr>
          <w:rFonts w:cstheme="minorHAnsi"/>
        </w:rPr>
        <w:t xml:space="preserve">Port </w:t>
      </w:r>
      <w:r>
        <w:rPr>
          <w:rFonts w:cstheme="minorHAnsi"/>
        </w:rPr>
        <w:t>Study</w:t>
      </w:r>
    </w:p>
    <w:p w14:paraId="7A9F0F85" w14:textId="20A236AC" w:rsidR="00202052" w:rsidRDefault="00202052" w:rsidP="00202052">
      <w:pPr>
        <w:pStyle w:val="ListParagraph"/>
        <w:numPr>
          <w:ilvl w:val="0"/>
          <w:numId w:val="1"/>
        </w:numPr>
        <w:jc w:val="both"/>
        <w:rPr>
          <w:rFonts w:cstheme="minorHAnsi"/>
        </w:rPr>
      </w:pPr>
      <w:r>
        <w:rPr>
          <w:rFonts w:cstheme="minorHAnsi"/>
        </w:rPr>
        <w:t xml:space="preserve">The </w:t>
      </w:r>
      <w:r w:rsidR="00E80B80">
        <w:rPr>
          <w:rFonts w:cstheme="minorHAnsi"/>
        </w:rPr>
        <w:t>proposed policies</w:t>
      </w:r>
      <w:r>
        <w:rPr>
          <w:rFonts w:cstheme="minorHAnsi"/>
        </w:rPr>
        <w:t xml:space="preserve"> appear heavily weighted in favour of the principal landowner by</w:t>
      </w:r>
    </w:p>
    <w:p w14:paraId="4104AA2F" w14:textId="4EE4A7ED" w:rsidR="00202052" w:rsidRDefault="00A72822" w:rsidP="00202052">
      <w:pPr>
        <w:pStyle w:val="ListParagraph"/>
        <w:numPr>
          <w:ilvl w:val="1"/>
          <w:numId w:val="1"/>
        </w:numPr>
        <w:jc w:val="both"/>
        <w:rPr>
          <w:rFonts w:cstheme="minorHAnsi"/>
        </w:rPr>
      </w:pPr>
      <w:r>
        <w:rPr>
          <w:rFonts w:cstheme="minorHAnsi"/>
        </w:rPr>
        <w:t>Bringing forward sites owned, in the main, by Trinity College, Cambridge</w:t>
      </w:r>
    </w:p>
    <w:p w14:paraId="2446E335" w14:textId="77777777" w:rsidR="005826DF" w:rsidRDefault="00202052" w:rsidP="005826DF">
      <w:pPr>
        <w:pStyle w:val="ListParagraph"/>
        <w:numPr>
          <w:ilvl w:val="1"/>
          <w:numId w:val="1"/>
        </w:numPr>
        <w:jc w:val="both"/>
        <w:rPr>
          <w:rFonts w:cstheme="minorHAnsi"/>
        </w:rPr>
      </w:pPr>
      <w:r>
        <w:rPr>
          <w:rFonts w:cstheme="minorHAnsi"/>
        </w:rPr>
        <w:t xml:space="preserve">failing to make enquiries of neighbouring councils, thereby breaching further their duty to co-operate </w:t>
      </w:r>
    </w:p>
    <w:p w14:paraId="629A936E" w14:textId="22DC61A1" w:rsidR="00202052" w:rsidRDefault="00202052" w:rsidP="005826DF">
      <w:pPr>
        <w:jc w:val="both"/>
        <w:rPr>
          <w:rFonts w:cstheme="minorHAnsi"/>
        </w:rPr>
      </w:pPr>
      <w:r w:rsidRPr="005826DF">
        <w:rPr>
          <w:rFonts w:cstheme="minorHAnsi"/>
        </w:rPr>
        <w:t>It is contended SCDC’s failure to co-operate renders the Plan unlawful.</w:t>
      </w:r>
    </w:p>
    <w:p w14:paraId="0444B173" w14:textId="52319E83" w:rsidR="00856222" w:rsidRDefault="007706A9" w:rsidP="00856222">
      <w:pPr>
        <w:jc w:val="both"/>
        <w:rPr>
          <w:rFonts w:cstheme="minorHAnsi"/>
        </w:rPr>
      </w:pPr>
      <w:r>
        <w:rPr>
          <w:rFonts w:cstheme="minorHAnsi"/>
        </w:rPr>
        <w:t>It is further contended SCLP12.</w:t>
      </w:r>
      <w:r w:rsidR="00981CCA">
        <w:rPr>
          <w:rFonts w:cstheme="minorHAnsi"/>
        </w:rPr>
        <w:t>6</w:t>
      </w:r>
      <w:r>
        <w:rPr>
          <w:rFonts w:cstheme="minorHAnsi"/>
        </w:rPr>
        <w:t xml:space="preserve">5 </w:t>
      </w:r>
      <w:r w:rsidR="00981CCA">
        <w:rPr>
          <w:rFonts w:cstheme="minorHAnsi"/>
        </w:rPr>
        <w:t>and SCLP</w:t>
      </w:r>
      <w:r w:rsidR="001D34D5">
        <w:rPr>
          <w:rFonts w:cstheme="minorHAnsi"/>
        </w:rPr>
        <w:t xml:space="preserve">12.66 </w:t>
      </w:r>
      <w:r>
        <w:rPr>
          <w:rFonts w:cstheme="minorHAnsi"/>
        </w:rPr>
        <w:t xml:space="preserve">fail to meet the tests of a sound plan. </w:t>
      </w:r>
      <w:r w:rsidR="001D34D5">
        <w:rPr>
          <w:rFonts w:cstheme="minorHAnsi"/>
        </w:rPr>
        <w:t>They are</w:t>
      </w:r>
      <w:r>
        <w:rPr>
          <w:rFonts w:cstheme="minorHAnsi"/>
        </w:rPr>
        <w:t xml:space="preserve"> NOT (</w:t>
      </w:r>
      <w:proofErr w:type="spellStart"/>
      <w:r>
        <w:rPr>
          <w:rFonts w:cstheme="minorHAnsi"/>
        </w:rPr>
        <w:t>i</w:t>
      </w:r>
      <w:proofErr w:type="spellEnd"/>
      <w:r>
        <w:rPr>
          <w:rFonts w:cstheme="minorHAnsi"/>
        </w:rPr>
        <w:t xml:space="preserve">) Positively Prepared (ii) Justified (iii) Effective or (iv) Consistent With The NPPF 2018 Guidelines.  To support this statement – </w:t>
      </w:r>
    </w:p>
    <w:p w14:paraId="3CF0902F" w14:textId="5A584BD6" w:rsidR="007706A9" w:rsidRPr="00DD3ACE" w:rsidRDefault="007706A9" w:rsidP="00040870">
      <w:pPr>
        <w:pStyle w:val="ListParagraph"/>
        <w:numPr>
          <w:ilvl w:val="0"/>
          <w:numId w:val="10"/>
        </w:numPr>
        <w:ind w:left="709" w:hanging="709"/>
        <w:jc w:val="both"/>
        <w:rPr>
          <w:rFonts w:cstheme="minorHAnsi"/>
        </w:rPr>
      </w:pPr>
      <w:r w:rsidRPr="00DD3ACE">
        <w:rPr>
          <w:rFonts w:cstheme="minorHAnsi"/>
          <w:u w:val="single"/>
        </w:rPr>
        <w:t>It is NOT “Positively Prepared” because:</w:t>
      </w:r>
    </w:p>
    <w:p w14:paraId="73D822A1" w14:textId="77777777" w:rsidR="007706A9" w:rsidRDefault="007706A9" w:rsidP="007706A9">
      <w:pPr>
        <w:pStyle w:val="ListParagraph"/>
        <w:ind w:left="1080"/>
        <w:jc w:val="both"/>
        <w:rPr>
          <w:rFonts w:cstheme="minorHAnsi"/>
        </w:rPr>
      </w:pPr>
    </w:p>
    <w:p w14:paraId="49D9AAC4" w14:textId="77777777" w:rsidR="003841E1" w:rsidRDefault="007706A9" w:rsidP="003841E1">
      <w:pPr>
        <w:pStyle w:val="ListParagraph"/>
        <w:numPr>
          <w:ilvl w:val="0"/>
          <w:numId w:val="2"/>
        </w:numPr>
        <w:jc w:val="both"/>
        <w:rPr>
          <w:rFonts w:cstheme="minorHAnsi"/>
        </w:rPr>
      </w:pPr>
      <w:r w:rsidRPr="00040870">
        <w:rPr>
          <w:rFonts w:cstheme="minorHAnsi"/>
        </w:rPr>
        <w:t>The estimate of several thousand jobs resulting from</w:t>
      </w:r>
    </w:p>
    <w:p w14:paraId="4043FDB0" w14:textId="77777777" w:rsidR="003841E1" w:rsidRDefault="003841E1" w:rsidP="003841E1">
      <w:pPr>
        <w:pStyle w:val="ListParagraph"/>
        <w:ind w:left="1800"/>
        <w:jc w:val="both"/>
        <w:rPr>
          <w:rFonts w:cstheme="minorHAnsi"/>
        </w:rPr>
      </w:pPr>
    </w:p>
    <w:p w14:paraId="72E4626F" w14:textId="0B6826FA" w:rsidR="007706A9" w:rsidRPr="003841E1" w:rsidRDefault="007706A9" w:rsidP="003841E1">
      <w:pPr>
        <w:pStyle w:val="ListParagraph"/>
        <w:numPr>
          <w:ilvl w:val="1"/>
          <w:numId w:val="2"/>
        </w:numPr>
        <w:jc w:val="both"/>
        <w:rPr>
          <w:rFonts w:cstheme="minorHAnsi"/>
        </w:rPr>
      </w:pPr>
      <w:r w:rsidRPr="003841E1">
        <w:rPr>
          <w:rFonts w:cstheme="minorHAnsi"/>
        </w:rPr>
        <w:t xml:space="preserve">Growth of the Port of Felixstowe </w:t>
      </w:r>
    </w:p>
    <w:p w14:paraId="3EA1357C" w14:textId="77777777" w:rsidR="007706A9" w:rsidRDefault="007706A9" w:rsidP="007706A9">
      <w:pPr>
        <w:pStyle w:val="ListParagraph"/>
        <w:numPr>
          <w:ilvl w:val="1"/>
          <w:numId w:val="2"/>
        </w:numPr>
        <w:jc w:val="both"/>
        <w:rPr>
          <w:rFonts w:cstheme="minorHAnsi"/>
        </w:rPr>
      </w:pPr>
      <w:r>
        <w:rPr>
          <w:rFonts w:cstheme="minorHAnsi"/>
        </w:rPr>
        <w:t xml:space="preserve">Additional jobs arising from BT and the </w:t>
      </w:r>
      <w:proofErr w:type="spellStart"/>
      <w:r>
        <w:rPr>
          <w:rFonts w:cstheme="minorHAnsi"/>
        </w:rPr>
        <w:t>Adastral</w:t>
      </w:r>
      <w:proofErr w:type="spellEnd"/>
      <w:r>
        <w:rPr>
          <w:rFonts w:cstheme="minorHAnsi"/>
        </w:rPr>
        <w:t xml:space="preserve"> Business Park</w:t>
      </w:r>
    </w:p>
    <w:p w14:paraId="498DA4F2" w14:textId="342DC0DD" w:rsidR="007706A9" w:rsidRDefault="007706A9" w:rsidP="007706A9">
      <w:pPr>
        <w:pStyle w:val="ListParagraph"/>
        <w:numPr>
          <w:ilvl w:val="1"/>
          <w:numId w:val="2"/>
        </w:numPr>
        <w:jc w:val="both"/>
        <w:rPr>
          <w:rFonts w:cstheme="minorHAnsi"/>
        </w:rPr>
      </w:pPr>
      <w:r>
        <w:rPr>
          <w:rFonts w:cstheme="minorHAnsi"/>
        </w:rPr>
        <w:t>The</w:t>
      </w:r>
      <w:r w:rsidR="003841E1">
        <w:rPr>
          <w:rFonts w:cstheme="minorHAnsi"/>
        </w:rPr>
        <w:t xml:space="preserve"> predicted manpower</w:t>
      </w:r>
      <w:r>
        <w:rPr>
          <w:rFonts w:cstheme="minorHAnsi"/>
        </w:rPr>
        <w:t xml:space="preserve"> </w:t>
      </w:r>
      <w:proofErr w:type="gramStart"/>
      <w:r>
        <w:rPr>
          <w:rFonts w:cstheme="minorHAnsi"/>
        </w:rPr>
        <w:t>need</w:t>
      </w:r>
      <w:proofErr w:type="gramEnd"/>
      <w:r>
        <w:rPr>
          <w:rFonts w:cstheme="minorHAnsi"/>
        </w:rPr>
        <w:t xml:space="preserve"> of Sizewell C</w:t>
      </w:r>
    </w:p>
    <w:p w14:paraId="59FDBC04" w14:textId="77777777" w:rsidR="007706A9" w:rsidRDefault="007706A9" w:rsidP="007706A9">
      <w:pPr>
        <w:pStyle w:val="ListParagraph"/>
        <w:numPr>
          <w:ilvl w:val="1"/>
          <w:numId w:val="2"/>
        </w:numPr>
        <w:jc w:val="both"/>
        <w:rPr>
          <w:rFonts w:cstheme="minorHAnsi"/>
        </w:rPr>
      </w:pPr>
      <w:r>
        <w:rPr>
          <w:rFonts w:cstheme="minorHAnsi"/>
        </w:rPr>
        <w:t>The growth of small / medium-size new businesses in the area</w:t>
      </w:r>
    </w:p>
    <w:p w14:paraId="7622D911" w14:textId="481BC505" w:rsidR="007706A9" w:rsidRDefault="003841E1" w:rsidP="007706A9">
      <w:pPr>
        <w:ind w:left="720" w:firstLine="414"/>
        <w:jc w:val="both"/>
        <w:rPr>
          <w:rFonts w:cstheme="minorHAnsi"/>
        </w:rPr>
      </w:pPr>
      <w:r>
        <w:rPr>
          <w:rFonts w:cstheme="minorHAnsi"/>
        </w:rPr>
        <w:t>i</w:t>
      </w:r>
      <w:r w:rsidR="007706A9">
        <w:rPr>
          <w:rFonts w:cstheme="minorHAnsi"/>
        </w:rPr>
        <w:t>s demonstrably unrealistic.  The reality is</w:t>
      </w:r>
    </w:p>
    <w:p w14:paraId="1C382597" w14:textId="77777777" w:rsidR="00CB695A" w:rsidRDefault="00CB695A" w:rsidP="007706A9">
      <w:pPr>
        <w:pStyle w:val="ListParagraph"/>
        <w:numPr>
          <w:ilvl w:val="1"/>
          <w:numId w:val="2"/>
        </w:numPr>
        <w:jc w:val="both"/>
        <w:rPr>
          <w:rFonts w:cstheme="minorHAnsi"/>
        </w:rPr>
      </w:pPr>
      <w:r>
        <w:rPr>
          <w:rFonts w:cstheme="minorHAnsi"/>
        </w:rPr>
        <w:t>Employment at the Port is unlikely to grow and is already falling.</w:t>
      </w:r>
    </w:p>
    <w:p w14:paraId="31EE456E" w14:textId="5DF85DED" w:rsidR="007706A9" w:rsidRDefault="007706A9" w:rsidP="007706A9">
      <w:pPr>
        <w:pStyle w:val="ListParagraph"/>
        <w:numPr>
          <w:ilvl w:val="1"/>
          <w:numId w:val="2"/>
        </w:numPr>
        <w:jc w:val="both"/>
        <w:rPr>
          <w:rFonts w:cstheme="minorHAnsi"/>
        </w:rPr>
      </w:pPr>
      <w:r>
        <w:rPr>
          <w:rFonts w:cstheme="minorHAnsi"/>
        </w:rPr>
        <w:t>No data is offered within the evidence base to support the contention Felixstowe will retain its current share of TEU volumes</w:t>
      </w:r>
    </w:p>
    <w:p w14:paraId="1CEA684D" w14:textId="77777777" w:rsidR="007706A9" w:rsidRDefault="007706A9" w:rsidP="007706A9">
      <w:pPr>
        <w:pStyle w:val="ListParagraph"/>
        <w:numPr>
          <w:ilvl w:val="1"/>
          <w:numId w:val="2"/>
        </w:numPr>
        <w:jc w:val="both"/>
        <w:rPr>
          <w:rFonts w:cstheme="minorHAnsi"/>
        </w:rPr>
      </w:pPr>
      <w:r>
        <w:rPr>
          <w:rFonts w:cstheme="minorHAnsi"/>
        </w:rPr>
        <w:t>As predicted in several recent Government publications, the Port of Felixstowe appears to have entered a period of decline</w:t>
      </w:r>
    </w:p>
    <w:p w14:paraId="67B0158E" w14:textId="1BC3FBDB" w:rsidR="007706A9" w:rsidRDefault="007706A9" w:rsidP="007706A9">
      <w:pPr>
        <w:pStyle w:val="ListParagraph"/>
        <w:numPr>
          <w:ilvl w:val="1"/>
          <w:numId w:val="2"/>
        </w:numPr>
        <w:jc w:val="both"/>
        <w:rPr>
          <w:rFonts w:cstheme="minorHAnsi"/>
        </w:rPr>
      </w:pPr>
      <w:r>
        <w:rPr>
          <w:rFonts w:cstheme="minorHAnsi"/>
        </w:rPr>
        <w:lastRenderedPageBreak/>
        <w:t xml:space="preserve">The prospect of it recovering its market share </w:t>
      </w:r>
      <w:r w:rsidR="00232087">
        <w:rPr>
          <w:rFonts w:cstheme="minorHAnsi"/>
        </w:rPr>
        <w:t>is</w:t>
      </w:r>
      <w:r>
        <w:rPr>
          <w:rFonts w:cstheme="minorHAnsi"/>
        </w:rPr>
        <w:t xml:space="preserve"> more in line with Government reports and </w:t>
      </w:r>
      <w:r w:rsidR="00AE7D7D">
        <w:rPr>
          <w:rFonts w:cstheme="minorHAnsi"/>
        </w:rPr>
        <w:t xml:space="preserve">things </w:t>
      </w:r>
      <w:r>
        <w:rPr>
          <w:rFonts w:cstheme="minorHAnsi"/>
        </w:rPr>
        <w:t>do not appear good</w:t>
      </w:r>
    </w:p>
    <w:p w14:paraId="6937E2A4" w14:textId="77777777" w:rsidR="007706A9" w:rsidRDefault="007706A9" w:rsidP="007706A9">
      <w:pPr>
        <w:pStyle w:val="ListParagraph"/>
        <w:numPr>
          <w:ilvl w:val="1"/>
          <w:numId w:val="2"/>
        </w:numPr>
        <w:jc w:val="both"/>
        <w:rPr>
          <w:rFonts w:cstheme="minorHAnsi"/>
        </w:rPr>
      </w:pPr>
      <w:r>
        <w:rPr>
          <w:rFonts w:cstheme="minorHAnsi"/>
        </w:rPr>
        <w:t>To protect its business, the Port is automating with a significant number of job losses taking place and planned</w:t>
      </w:r>
    </w:p>
    <w:p w14:paraId="1FFEA9A9" w14:textId="77777777" w:rsidR="007706A9" w:rsidRDefault="007706A9" w:rsidP="007706A9">
      <w:pPr>
        <w:pStyle w:val="ListParagraph"/>
        <w:numPr>
          <w:ilvl w:val="1"/>
          <w:numId w:val="2"/>
        </w:numPr>
        <w:jc w:val="both"/>
        <w:rPr>
          <w:rFonts w:cstheme="minorHAnsi"/>
        </w:rPr>
      </w:pPr>
      <w:r>
        <w:rPr>
          <w:rFonts w:cstheme="minorHAnsi"/>
        </w:rPr>
        <w:t xml:space="preserve">BT has announced it will be losing 9,000 jobs worldwide, with 900 or so planned at </w:t>
      </w:r>
      <w:proofErr w:type="spellStart"/>
      <w:r>
        <w:rPr>
          <w:rFonts w:cstheme="minorHAnsi"/>
        </w:rPr>
        <w:t>Adastral</w:t>
      </w:r>
      <w:proofErr w:type="spellEnd"/>
      <w:r>
        <w:rPr>
          <w:rFonts w:cstheme="minorHAnsi"/>
        </w:rPr>
        <w:t xml:space="preserve"> Park</w:t>
      </w:r>
    </w:p>
    <w:p w14:paraId="07BF8A72" w14:textId="77777777" w:rsidR="007706A9" w:rsidRDefault="007706A9" w:rsidP="007706A9">
      <w:pPr>
        <w:pStyle w:val="ListParagraph"/>
        <w:numPr>
          <w:ilvl w:val="1"/>
          <w:numId w:val="2"/>
        </w:numPr>
        <w:jc w:val="both"/>
        <w:rPr>
          <w:rFonts w:cstheme="minorHAnsi"/>
        </w:rPr>
      </w:pPr>
      <w:r>
        <w:rPr>
          <w:rFonts w:cstheme="minorHAnsi"/>
        </w:rPr>
        <w:t>The Sizewell C workforce is planned to be transient during the build phase, with only 900 or so becoming permanent after 2030.</w:t>
      </w:r>
    </w:p>
    <w:p w14:paraId="5A2EE6EB" w14:textId="77777777" w:rsidR="007706A9" w:rsidRDefault="007706A9" w:rsidP="007706A9">
      <w:pPr>
        <w:pStyle w:val="ListParagraph"/>
        <w:numPr>
          <w:ilvl w:val="1"/>
          <w:numId w:val="2"/>
        </w:numPr>
        <w:jc w:val="both"/>
        <w:rPr>
          <w:rFonts w:cstheme="minorHAnsi"/>
        </w:rPr>
      </w:pPr>
      <w:r>
        <w:rPr>
          <w:rFonts w:cstheme="minorHAnsi"/>
        </w:rPr>
        <w:t>Permanent employees will wish to live close to their workplace</w:t>
      </w:r>
    </w:p>
    <w:p w14:paraId="545DA55A" w14:textId="77777777" w:rsidR="007706A9" w:rsidRDefault="007706A9" w:rsidP="007706A9">
      <w:pPr>
        <w:pStyle w:val="ListParagraph"/>
        <w:numPr>
          <w:ilvl w:val="1"/>
          <w:numId w:val="2"/>
        </w:numPr>
        <w:jc w:val="both"/>
        <w:rPr>
          <w:rFonts w:cstheme="minorHAnsi"/>
        </w:rPr>
      </w:pPr>
      <w:r>
        <w:rPr>
          <w:rFonts w:cstheme="minorHAnsi"/>
        </w:rPr>
        <w:t>Common sense dictates job growth from the small / medium-size business sector is not going to be measured in thousands</w:t>
      </w:r>
    </w:p>
    <w:p w14:paraId="279D61B0" w14:textId="1C61A3B5" w:rsidR="007706A9" w:rsidRPr="00D07449" w:rsidRDefault="007706A9" w:rsidP="007706A9">
      <w:pPr>
        <w:pStyle w:val="ListParagraph"/>
        <w:numPr>
          <w:ilvl w:val="1"/>
          <w:numId w:val="2"/>
        </w:numPr>
        <w:jc w:val="both"/>
        <w:rPr>
          <w:rFonts w:cstheme="minorHAnsi"/>
        </w:rPr>
      </w:pPr>
      <w:r>
        <w:rPr>
          <w:rFonts w:cstheme="minorHAnsi"/>
        </w:rPr>
        <w:t>If Innocence Farm</w:t>
      </w:r>
      <w:r w:rsidR="003437F5">
        <w:rPr>
          <w:rFonts w:cstheme="minorHAnsi"/>
        </w:rPr>
        <w:t xml:space="preserve"> (Policy SCLP12.35)</w:t>
      </w:r>
      <w:r>
        <w:rPr>
          <w:rFonts w:cstheme="minorHAnsi"/>
        </w:rPr>
        <w:t xml:space="preserve"> is to be used (</w:t>
      </w:r>
      <w:proofErr w:type="spellStart"/>
      <w:r>
        <w:rPr>
          <w:rFonts w:cstheme="minorHAnsi"/>
        </w:rPr>
        <w:t>i</w:t>
      </w:r>
      <w:proofErr w:type="spellEnd"/>
      <w:r>
        <w:rPr>
          <w:rFonts w:cstheme="minorHAnsi"/>
        </w:rPr>
        <w:t>) to accommodate port-centric operations displaced from the Port (ii) container storage (iii) lorry parking, then it has to be concluded (</w:t>
      </w:r>
      <w:proofErr w:type="spellStart"/>
      <w:r>
        <w:rPr>
          <w:rFonts w:cstheme="minorHAnsi"/>
        </w:rPr>
        <w:t>i</w:t>
      </w:r>
      <w:proofErr w:type="spellEnd"/>
      <w:r>
        <w:rPr>
          <w:rFonts w:cstheme="minorHAnsi"/>
        </w:rPr>
        <w:t xml:space="preserve">) Zero jobs will arise from displaced port-centric operations and (ii) new jobs </w:t>
      </w:r>
      <w:r w:rsidR="00EE5475">
        <w:rPr>
          <w:rFonts w:cstheme="minorHAnsi"/>
        </w:rPr>
        <w:t>will not</w:t>
      </w:r>
      <w:r w:rsidR="004027C6">
        <w:rPr>
          <w:rFonts w:cstheme="minorHAnsi"/>
        </w:rPr>
        <w:t xml:space="preserve"> come from </w:t>
      </w:r>
      <w:r>
        <w:rPr>
          <w:rFonts w:cstheme="minorHAnsi"/>
        </w:rPr>
        <w:t>automated</w:t>
      </w:r>
      <w:r w:rsidR="004027C6">
        <w:rPr>
          <w:rFonts w:cstheme="minorHAnsi"/>
        </w:rPr>
        <w:t xml:space="preserve"> </w:t>
      </w:r>
      <w:r>
        <w:rPr>
          <w:rFonts w:cstheme="minorHAnsi"/>
        </w:rPr>
        <w:t>warehouses / a lorry park will NOT come close to</w:t>
      </w:r>
      <w:r w:rsidR="004027C6">
        <w:rPr>
          <w:rFonts w:cstheme="minorHAnsi"/>
        </w:rPr>
        <w:t xml:space="preserve"> providing</w:t>
      </w:r>
      <w:r>
        <w:rPr>
          <w:rFonts w:cstheme="minorHAnsi"/>
        </w:rPr>
        <w:t xml:space="preserve"> the </w:t>
      </w:r>
      <w:r w:rsidR="000446C6">
        <w:rPr>
          <w:rFonts w:cstheme="minorHAnsi"/>
        </w:rPr>
        <w:t>number of new</w:t>
      </w:r>
      <w:r>
        <w:rPr>
          <w:rFonts w:cstheme="minorHAnsi"/>
        </w:rPr>
        <w:t xml:space="preserve"> jobs p</w:t>
      </w:r>
      <w:r w:rsidR="000446C6">
        <w:rPr>
          <w:rFonts w:cstheme="minorHAnsi"/>
        </w:rPr>
        <w:t>roposed for the District</w:t>
      </w:r>
      <w:r>
        <w:rPr>
          <w:rFonts w:cstheme="minorHAnsi"/>
        </w:rPr>
        <w:t>!</w:t>
      </w:r>
    </w:p>
    <w:p w14:paraId="5BB9574E" w14:textId="6A3A102B" w:rsidR="007706A9" w:rsidRDefault="00BC41B2" w:rsidP="007706A9">
      <w:pPr>
        <w:pStyle w:val="ListParagraph"/>
        <w:numPr>
          <w:ilvl w:val="0"/>
          <w:numId w:val="2"/>
        </w:numPr>
        <w:jc w:val="both"/>
        <w:rPr>
          <w:rFonts w:cstheme="minorHAnsi"/>
        </w:rPr>
      </w:pPr>
      <w:r>
        <w:rPr>
          <w:rFonts w:cstheme="minorHAnsi"/>
        </w:rPr>
        <w:t>Against this background, the Local Plan</w:t>
      </w:r>
      <w:r w:rsidR="007706A9">
        <w:rPr>
          <w:rFonts w:cstheme="minorHAnsi"/>
        </w:rPr>
        <w:t xml:space="preserve"> makes no attempt to objectively assess the need for </w:t>
      </w:r>
      <w:r w:rsidR="002957CB">
        <w:rPr>
          <w:rFonts w:cstheme="minorHAnsi"/>
        </w:rPr>
        <w:t>new housing</w:t>
      </w:r>
    </w:p>
    <w:p w14:paraId="70573847" w14:textId="193DD307" w:rsidR="007706A9" w:rsidRDefault="007706A9" w:rsidP="007706A9">
      <w:pPr>
        <w:pStyle w:val="ListParagraph"/>
        <w:numPr>
          <w:ilvl w:val="0"/>
          <w:numId w:val="2"/>
        </w:numPr>
        <w:jc w:val="both"/>
        <w:rPr>
          <w:rFonts w:cstheme="minorHAnsi"/>
        </w:rPr>
      </w:pPr>
      <w:r>
        <w:rPr>
          <w:rFonts w:cstheme="minorHAnsi"/>
        </w:rPr>
        <w:t>The Plan is not informed by agreements with neighbouring authorities</w:t>
      </w:r>
    </w:p>
    <w:p w14:paraId="3F377865" w14:textId="7A49B7DD" w:rsidR="007706A9" w:rsidRPr="00F4431A" w:rsidRDefault="006461B5" w:rsidP="00F4431A">
      <w:pPr>
        <w:pStyle w:val="ListParagraph"/>
        <w:numPr>
          <w:ilvl w:val="0"/>
          <w:numId w:val="2"/>
        </w:numPr>
        <w:jc w:val="both"/>
        <w:rPr>
          <w:rFonts w:cstheme="minorHAnsi"/>
        </w:rPr>
      </w:pPr>
      <w:r>
        <w:rPr>
          <w:rFonts w:cstheme="minorHAnsi"/>
        </w:rPr>
        <w:t>Added to the wildly optimistic employment predictions of neighbouring districts</w:t>
      </w:r>
      <w:r w:rsidR="00C015A4">
        <w:rPr>
          <w:rFonts w:cstheme="minorHAnsi"/>
        </w:rPr>
        <w:t>,</w:t>
      </w:r>
      <w:r>
        <w:rPr>
          <w:rFonts w:cstheme="minorHAnsi"/>
        </w:rPr>
        <w:t xml:space="preserve"> it is self-evident</w:t>
      </w:r>
      <w:r w:rsidR="00F4431A">
        <w:rPr>
          <w:rFonts w:cstheme="minorHAnsi"/>
        </w:rPr>
        <w:t xml:space="preserve"> the total is far beyond anything that can reasonably be expected</w:t>
      </w:r>
    </w:p>
    <w:p w14:paraId="4E129F65" w14:textId="77777777" w:rsidR="007706A9" w:rsidRDefault="007706A9" w:rsidP="007706A9">
      <w:pPr>
        <w:pStyle w:val="ListParagraph"/>
        <w:numPr>
          <w:ilvl w:val="0"/>
          <w:numId w:val="2"/>
        </w:numPr>
        <w:jc w:val="both"/>
        <w:rPr>
          <w:rFonts w:cstheme="minorHAnsi"/>
        </w:rPr>
      </w:pPr>
      <w:r>
        <w:rPr>
          <w:rFonts w:cstheme="minorHAnsi"/>
        </w:rPr>
        <w:t>It fails to take account of SCDC’s coastal position and, specifically, that access is only possible from a northerly or westerly direction</w:t>
      </w:r>
    </w:p>
    <w:p w14:paraId="496D8DCD" w14:textId="391BFBC7" w:rsidR="007706A9" w:rsidRPr="00F4431A" w:rsidRDefault="007706A9" w:rsidP="00F4431A">
      <w:pPr>
        <w:pStyle w:val="ListParagraph"/>
        <w:numPr>
          <w:ilvl w:val="0"/>
          <w:numId w:val="2"/>
        </w:numPr>
        <w:jc w:val="both"/>
        <w:rPr>
          <w:rFonts w:cstheme="minorHAnsi"/>
        </w:rPr>
      </w:pPr>
      <w:r>
        <w:rPr>
          <w:rFonts w:cstheme="minorHAnsi"/>
        </w:rPr>
        <w:t>It fails to assess the impact the preceding point is likely to have on businesses thinking of setting up in the area</w:t>
      </w:r>
    </w:p>
    <w:p w14:paraId="0AE5CFA9" w14:textId="271E7474" w:rsidR="007706A9" w:rsidRPr="00794E1A" w:rsidRDefault="007706A9" w:rsidP="007706A9">
      <w:pPr>
        <w:pStyle w:val="ListParagraph"/>
        <w:numPr>
          <w:ilvl w:val="0"/>
          <w:numId w:val="2"/>
        </w:numPr>
        <w:jc w:val="both"/>
        <w:rPr>
          <w:rFonts w:cstheme="minorHAnsi"/>
        </w:rPr>
      </w:pPr>
      <w:r>
        <w:rPr>
          <w:rFonts w:cstheme="minorHAnsi"/>
        </w:rPr>
        <w:t xml:space="preserve">Because of all the points noted above, </w:t>
      </w:r>
      <w:r w:rsidR="005D4F55">
        <w:rPr>
          <w:rFonts w:cstheme="minorHAnsi"/>
        </w:rPr>
        <w:t>the Local Plan, as proposed,</w:t>
      </w:r>
      <w:r w:rsidR="00FD72BA">
        <w:rPr>
          <w:rFonts w:cstheme="minorHAnsi"/>
        </w:rPr>
        <w:t xml:space="preserve"> </w:t>
      </w:r>
      <w:r>
        <w:rPr>
          <w:rFonts w:cstheme="minorHAnsi"/>
        </w:rPr>
        <w:t>is not consistent with sustainable development</w:t>
      </w:r>
    </w:p>
    <w:p w14:paraId="3E6F0A35" w14:textId="77777777" w:rsidR="001C55BE" w:rsidRDefault="001C55BE" w:rsidP="0049006D">
      <w:pPr>
        <w:jc w:val="both"/>
        <w:rPr>
          <w:rFonts w:cstheme="minorHAnsi"/>
          <w:u w:val="single"/>
        </w:rPr>
      </w:pPr>
    </w:p>
    <w:p w14:paraId="7AD9ECF5" w14:textId="40F2DAFE" w:rsidR="0049006D" w:rsidRPr="0049006D" w:rsidRDefault="0049006D" w:rsidP="0049006D">
      <w:pPr>
        <w:jc w:val="both"/>
        <w:rPr>
          <w:rFonts w:cstheme="minorHAnsi"/>
        </w:rPr>
      </w:pPr>
      <w:r w:rsidRPr="0049006D">
        <w:rPr>
          <w:rFonts w:cstheme="minorHAnsi"/>
          <w:u w:val="single"/>
        </w:rPr>
        <w:t>It is NOT “</w:t>
      </w:r>
      <w:r w:rsidR="001C55BE">
        <w:rPr>
          <w:rFonts w:cstheme="minorHAnsi"/>
          <w:u w:val="single"/>
        </w:rPr>
        <w:t>Justified</w:t>
      </w:r>
      <w:r w:rsidRPr="0049006D">
        <w:rPr>
          <w:rFonts w:cstheme="minorHAnsi"/>
          <w:u w:val="single"/>
        </w:rPr>
        <w:t>” because:</w:t>
      </w:r>
    </w:p>
    <w:p w14:paraId="156473A9" w14:textId="77777777" w:rsidR="0049006D" w:rsidRDefault="0049006D" w:rsidP="0049006D">
      <w:pPr>
        <w:pStyle w:val="ListParagraph"/>
        <w:ind w:left="1080"/>
        <w:jc w:val="both"/>
        <w:rPr>
          <w:rFonts w:cstheme="minorHAnsi"/>
        </w:rPr>
      </w:pPr>
    </w:p>
    <w:p w14:paraId="3D43ACBD" w14:textId="77777777" w:rsidR="001C55BE" w:rsidRDefault="001C55BE" w:rsidP="001C55BE">
      <w:pPr>
        <w:pStyle w:val="ListParagraph"/>
        <w:numPr>
          <w:ilvl w:val="0"/>
          <w:numId w:val="4"/>
        </w:numPr>
        <w:ind w:left="1134" w:hanging="425"/>
        <w:jc w:val="both"/>
        <w:rPr>
          <w:rFonts w:cstheme="minorHAnsi"/>
        </w:rPr>
      </w:pPr>
      <w:r>
        <w:rPr>
          <w:rFonts w:cstheme="minorHAnsi"/>
        </w:rPr>
        <w:t>SCDC ignores the latest (2017) East of England Forecasting Model (EEFM) data, but uses the 2016 data instead</w:t>
      </w:r>
    </w:p>
    <w:p w14:paraId="684695FD" w14:textId="543F47C2" w:rsidR="001C55BE" w:rsidRDefault="001C55BE" w:rsidP="001C55BE">
      <w:pPr>
        <w:pStyle w:val="ListParagraph"/>
        <w:numPr>
          <w:ilvl w:val="0"/>
          <w:numId w:val="4"/>
        </w:numPr>
        <w:ind w:left="1134" w:hanging="425"/>
        <w:jc w:val="both"/>
        <w:rPr>
          <w:rFonts w:cstheme="minorHAnsi"/>
        </w:rPr>
      </w:pPr>
      <w:r>
        <w:rPr>
          <w:rFonts w:cstheme="minorHAnsi"/>
        </w:rPr>
        <w:t>In effect</w:t>
      </w:r>
      <w:r w:rsidR="00A320EB">
        <w:rPr>
          <w:rFonts w:cstheme="minorHAnsi"/>
        </w:rPr>
        <w:t>,</w:t>
      </w:r>
      <w:r>
        <w:rPr>
          <w:rFonts w:cstheme="minorHAnsi"/>
        </w:rPr>
        <w:t xml:space="preserve"> this means SCDC has overstated the jobs growth forecast (6,500) by 1,100 jobs</w:t>
      </w:r>
      <w:r w:rsidR="00A02997">
        <w:rPr>
          <w:rFonts w:cstheme="minorHAnsi"/>
        </w:rPr>
        <w:t>.</w:t>
      </w:r>
      <w:r w:rsidR="00A320EB">
        <w:rPr>
          <w:rFonts w:cstheme="minorHAnsi"/>
        </w:rPr>
        <w:t xml:space="preserve"> </w:t>
      </w:r>
      <w:r w:rsidR="00A320EB" w:rsidRPr="00295CF0">
        <w:rPr>
          <w:rFonts w:cstheme="minorHAnsi"/>
        </w:rPr>
        <w:t>This is a gross figure and there is no evidence to indicate how potential job losses might influence that figure</w:t>
      </w:r>
      <w:r w:rsidR="00A320EB">
        <w:rPr>
          <w:rFonts w:cstheme="minorHAnsi"/>
        </w:rPr>
        <w:t>, nor the knock-on effect on the housing requirement</w:t>
      </w:r>
      <w:r w:rsidR="00A320EB" w:rsidRPr="00295CF0">
        <w:rPr>
          <w:rFonts w:cstheme="minorHAnsi"/>
        </w:rPr>
        <w:t>.</w:t>
      </w:r>
    </w:p>
    <w:p w14:paraId="76F5081D" w14:textId="5E4D3227" w:rsidR="001C55BE" w:rsidRDefault="001C55BE" w:rsidP="001C55BE">
      <w:pPr>
        <w:pStyle w:val="ListParagraph"/>
        <w:numPr>
          <w:ilvl w:val="0"/>
          <w:numId w:val="4"/>
        </w:numPr>
        <w:ind w:left="1134" w:hanging="425"/>
        <w:jc w:val="both"/>
        <w:rPr>
          <w:rFonts w:cstheme="minorHAnsi"/>
        </w:rPr>
      </w:pPr>
      <w:r>
        <w:rPr>
          <w:rFonts w:cstheme="minorHAnsi"/>
        </w:rPr>
        <w:t xml:space="preserve">Despite the preceding two points, SCDC chooses to ignore the EEFM figures for its </w:t>
      </w:r>
      <w:r w:rsidR="00173F08">
        <w:rPr>
          <w:rFonts w:cstheme="minorHAnsi"/>
        </w:rPr>
        <w:t>housing requirement</w:t>
      </w:r>
      <w:r>
        <w:rPr>
          <w:rFonts w:cstheme="minorHAnsi"/>
        </w:rPr>
        <w:t xml:space="preserve"> forecast</w:t>
      </w:r>
    </w:p>
    <w:p w14:paraId="3D6BF437" w14:textId="1CE46D86" w:rsidR="00295CF0" w:rsidRDefault="001C55BE" w:rsidP="00A02997">
      <w:pPr>
        <w:pStyle w:val="ListParagraph"/>
        <w:numPr>
          <w:ilvl w:val="0"/>
          <w:numId w:val="4"/>
        </w:numPr>
        <w:ind w:left="1134" w:hanging="425"/>
        <w:jc w:val="both"/>
      </w:pPr>
      <w:r>
        <w:rPr>
          <w:rFonts w:cstheme="minorHAnsi"/>
        </w:rPr>
        <w:t xml:space="preserve">The EEFM figures show negligible growth in the employment land requirement, which </w:t>
      </w:r>
      <w:r w:rsidR="00236638">
        <w:rPr>
          <w:rFonts w:cstheme="minorHAnsi"/>
        </w:rPr>
        <w:t>is in contradiction</w:t>
      </w:r>
      <w:r w:rsidR="00A02997">
        <w:rPr>
          <w:rFonts w:cstheme="minorHAnsi"/>
        </w:rPr>
        <w:t xml:space="preserve"> to</w:t>
      </w:r>
      <w:r>
        <w:rPr>
          <w:rFonts w:cstheme="minorHAnsi"/>
        </w:rPr>
        <w:t xml:space="preserve"> the SCDC forecast in the Local Plan</w:t>
      </w:r>
    </w:p>
    <w:p w14:paraId="114C77D0" w14:textId="4FB3F6B6" w:rsidR="0036763F" w:rsidRDefault="0036763F" w:rsidP="00A53455">
      <w:pPr>
        <w:pStyle w:val="ListParagraph"/>
        <w:numPr>
          <w:ilvl w:val="0"/>
          <w:numId w:val="4"/>
        </w:numPr>
        <w:ind w:left="1134" w:hanging="425"/>
      </w:pPr>
      <w:r w:rsidRPr="002813A9">
        <w:t>The Kirton and Trimley Community Action Group</w:t>
      </w:r>
      <w:r>
        <w:t xml:space="preserve"> (KATCAG)</w:t>
      </w:r>
      <w:r w:rsidRPr="002813A9">
        <w:t xml:space="preserve"> ha</w:t>
      </w:r>
      <w:r>
        <w:t>s</w:t>
      </w:r>
      <w:r w:rsidRPr="002813A9">
        <w:t xml:space="preserve"> </w:t>
      </w:r>
      <w:r>
        <w:t>made public</w:t>
      </w:r>
      <w:r w:rsidRPr="002813A9">
        <w:t xml:space="preserve"> a well-researched ‘Justification Annex’ providing evidence of many serious flaws in the </w:t>
      </w:r>
      <w:proofErr w:type="spellStart"/>
      <w:r w:rsidR="000F70FB">
        <w:t>Lichfields</w:t>
      </w:r>
      <w:proofErr w:type="spellEnd"/>
      <w:r w:rsidR="000F70FB">
        <w:t xml:space="preserve"> 2018 Port </w:t>
      </w:r>
      <w:r>
        <w:t xml:space="preserve">Study </w:t>
      </w:r>
    </w:p>
    <w:p w14:paraId="3D9D2BB9" w14:textId="77777777" w:rsidR="0036763F" w:rsidRDefault="0036763F" w:rsidP="00A53455">
      <w:pPr>
        <w:pStyle w:val="ListParagraph"/>
        <w:numPr>
          <w:ilvl w:val="0"/>
          <w:numId w:val="4"/>
        </w:numPr>
        <w:ind w:left="1134" w:hanging="425"/>
      </w:pPr>
      <w:r>
        <w:t>This credible and important document concludes the Study is</w:t>
      </w:r>
      <w:r w:rsidRPr="002813A9">
        <w:t xml:space="preserve"> fatally </w:t>
      </w:r>
      <w:r>
        <w:t>flawed</w:t>
      </w:r>
      <w:r w:rsidRPr="002813A9">
        <w:t xml:space="preserve"> in respect of</w:t>
      </w:r>
    </w:p>
    <w:p w14:paraId="1332426E" w14:textId="77777777" w:rsidR="007256BB" w:rsidRDefault="0036763F" w:rsidP="007256BB">
      <w:pPr>
        <w:pStyle w:val="ListParagraph"/>
        <w:numPr>
          <w:ilvl w:val="2"/>
          <w:numId w:val="17"/>
        </w:numPr>
      </w:pPr>
      <w:r w:rsidRPr="002813A9">
        <w:t>The need for any additional employment land allocation for port-related operations</w:t>
      </w:r>
      <w:r>
        <w:t>, including the 69Ha already with planning permission</w:t>
      </w:r>
    </w:p>
    <w:p w14:paraId="375FA2A6" w14:textId="169CBCE0" w:rsidR="007256BB" w:rsidRPr="007256BB" w:rsidRDefault="0036763F" w:rsidP="007256BB">
      <w:pPr>
        <w:pStyle w:val="ListParagraph"/>
        <w:numPr>
          <w:ilvl w:val="2"/>
          <w:numId w:val="17"/>
        </w:numPr>
      </w:pPr>
      <w:r>
        <w:lastRenderedPageBreak/>
        <w:t xml:space="preserve">Placing any reliance upon the Study as an evidence base </w:t>
      </w:r>
      <w:r w:rsidR="00B0359F">
        <w:t>in support of</w:t>
      </w:r>
      <w:r w:rsidR="00F76E99">
        <w:t xml:space="preserve"> an employment-related housing nee</w:t>
      </w:r>
      <w:r w:rsidR="00B0359F">
        <w:t>d</w:t>
      </w:r>
    </w:p>
    <w:p w14:paraId="436CB3C7" w14:textId="3B074ACE" w:rsidR="00216A6D" w:rsidRDefault="00507FA5" w:rsidP="00B14BAC">
      <w:pPr>
        <w:pStyle w:val="ListParagraph"/>
        <w:numPr>
          <w:ilvl w:val="2"/>
          <w:numId w:val="18"/>
        </w:numPr>
        <w:ind w:left="1134" w:hanging="425"/>
        <w:jc w:val="both"/>
        <w:rPr>
          <w:rFonts w:cstheme="minorHAnsi"/>
        </w:rPr>
      </w:pPr>
      <w:r>
        <w:rPr>
          <w:rFonts w:cstheme="minorHAnsi"/>
        </w:rPr>
        <w:t>T</w:t>
      </w:r>
      <w:r w:rsidR="009A1EE9" w:rsidRPr="00216A6D">
        <w:rPr>
          <w:rFonts w:cstheme="minorHAnsi"/>
        </w:rPr>
        <w:t xml:space="preserve">he forthcoming </w:t>
      </w:r>
      <w:r w:rsidR="00B77A55">
        <w:rPr>
          <w:rFonts w:cstheme="minorHAnsi"/>
        </w:rPr>
        <w:t>merger</w:t>
      </w:r>
      <w:r>
        <w:rPr>
          <w:rFonts w:cstheme="minorHAnsi"/>
        </w:rPr>
        <w:t xml:space="preserve"> between Suffolk Coastal and Waveney is expected to result in a reduction of 730 jobs</w:t>
      </w:r>
    </w:p>
    <w:p w14:paraId="083FC78B" w14:textId="463796FA" w:rsidR="00216A6D" w:rsidRDefault="00295CF0" w:rsidP="00216A6D">
      <w:pPr>
        <w:pStyle w:val="ListParagraph"/>
        <w:numPr>
          <w:ilvl w:val="2"/>
          <w:numId w:val="18"/>
        </w:numPr>
        <w:ind w:left="1134" w:hanging="425"/>
        <w:jc w:val="both"/>
        <w:rPr>
          <w:rFonts w:cstheme="minorHAnsi"/>
        </w:rPr>
      </w:pPr>
      <w:r w:rsidRPr="00216A6D">
        <w:rPr>
          <w:rFonts w:cstheme="minorHAnsi"/>
        </w:rPr>
        <w:t xml:space="preserve">The High Street retail and banking sectors have each suffered from customers moving to on-line shopping. </w:t>
      </w:r>
    </w:p>
    <w:p w14:paraId="1CC860DF" w14:textId="77777777" w:rsidR="00FD7B48" w:rsidRDefault="00295CF0" w:rsidP="002A2832">
      <w:pPr>
        <w:pStyle w:val="ListParagraph"/>
        <w:numPr>
          <w:ilvl w:val="2"/>
          <w:numId w:val="18"/>
        </w:numPr>
        <w:ind w:left="1134" w:hanging="425"/>
        <w:jc w:val="both"/>
        <w:rPr>
          <w:rFonts w:cstheme="minorHAnsi"/>
        </w:rPr>
      </w:pPr>
      <w:r w:rsidRPr="00FD7B48">
        <w:rPr>
          <w:rFonts w:cstheme="minorHAnsi"/>
        </w:rPr>
        <w:t>The UK will lose 8,820,545 jobs by 2030 due to automation.</w:t>
      </w:r>
    </w:p>
    <w:p w14:paraId="5187EACB" w14:textId="77777777" w:rsidR="008D14FA" w:rsidRDefault="00295CF0" w:rsidP="00926863">
      <w:pPr>
        <w:pStyle w:val="ListParagraph"/>
        <w:numPr>
          <w:ilvl w:val="2"/>
          <w:numId w:val="18"/>
        </w:numPr>
        <w:ind w:left="1134" w:hanging="425"/>
        <w:jc w:val="both"/>
        <w:rPr>
          <w:rFonts w:cstheme="minorHAnsi"/>
        </w:rPr>
      </w:pPr>
      <w:r w:rsidRPr="00FD7B48">
        <w:rPr>
          <w:rFonts w:cstheme="minorHAnsi"/>
        </w:rPr>
        <w:t>The Draft Plan</w:t>
      </w:r>
      <w:r w:rsidR="00C23F17" w:rsidRPr="00FD7B48">
        <w:rPr>
          <w:rFonts w:cstheme="minorHAnsi"/>
        </w:rPr>
        <w:t>’s employment data is not to be relied upon.</w:t>
      </w:r>
      <w:r w:rsidRPr="00FD7B48">
        <w:rPr>
          <w:rFonts w:cstheme="minorHAnsi"/>
        </w:rPr>
        <w:t xml:space="preserve"> </w:t>
      </w:r>
      <w:proofErr w:type="spellStart"/>
      <w:r w:rsidRPr="00FD7B48">
        <w:rPr>
          <w:rFonts w:cstheme="minorHAnsi"/>
        </w:rPr>
        <w:t>Nomis</w:t>
      </w:r>
      <w:proofErr w:type="spellEnd"/>
      <w:r w:rsidRPr="00FD7B48">
        <w:rPr>
          <w:rFonts w:cstheme="minorHAnsi"/>
        </w:rPr>
        <w:t xml:space="preserve"> figures </w:t>
      </w:r>
      <w:r w:rsidR="003C0DD0">
        <w:rPr>
          <w:rFonts w:cstheme="minorHAnsi"/>
        </w:rPr>
        <w:t xml:space="preserve">predicted </w:t>
      </w:r>
      <w:r w:rsidRPr="00FD7B48">
        <w:rPr>
          <w:rFonts w:cstheme="minorHAnsi"/>
        </w:rPr>
        <w:t xml:space="preserve">7,000 </w:t>
      </w:r>
      <w:r w:rsidR="00CA5E71">
        <w:rPr>
          <w:rFonts w:cstheme="minorHAnsi"/>
        </w:rPr>
        <w:t xml:space="preserve">new </w:t>
      </w:r>
      <w:r w:rsidRPr="00FD7B48">
        <w:rPr>
          <w:rFonts w:cstheme="minorHAnsi"/>
        </w:rPr>
        <w:t xml:space="preserve">jobs </w:t>
      </w:r>
      <w:r w:rsidR="00CA5E71">
        <w:rPr>
          <w:rFonts w:cstheme="minorHAnsi"/>
        </w:rPr>
        <w:t>would be</w:t>
      </w:r>
      <w:r w:rsidRPr="00FD7B48">
        <w:rPr>
          <w:rFonts w:cstheme="minorHAnsi"/>
        </w:rPr>
        <w:t xml:space="preserve"> created </w:t>
      </w:r>
      <w:r w:rsidR="003C0DD0">
        <w:rPr>
          <w:rFonts w:cstheme="minorHAnsi"/>
        </w:rPr>
        <w:t>in the area between 2011 and 2016</w:t>
      </w:r>
      <w:r w:rsidRPr="00FD7B48">
        <w:rPr>
          <w:rFonts w:cstheme="minorHAnsi"/>
        </w:rPr>
        <w:t>.</w:t>
      </w:r>
      <w:r w:rsidR="00CA5E71">
        <w:rPr>
          <w:rFonts w:cstheme="minorHAnsi"/>
        </w:rPr>
        <w:t xml:space="preserve"> The reality was a gross </w:t>
      </w:r>
      <w:r w:rsidR="00926863">
        <w:rPr>
          <w:rFonts w:cstheme="minorHAnsi"/>
        </w:rPr>
        <w:t>f</w:t>
      </w:r>
      <w:r w:rsidR="00CA5E71">
        <w:rPr>
          <w:rFonts w:cstheme="minorHAnsi"/>
        </w:rPr>
        <w:t xml:space="preserve">igure of </w:t>
      </w:r>
      <w:r w:rsidR="00926863">
        <w:rPr>
          <w:rFonts w:cstheme="minorHAnsi"/>
        </w:rPr>
        <w:t xml:space="preserve">2,600. </w:t>
      </w:r>
    </w:p>
    <w:p w14:paraId="61F1A136" w14:textId="77777777" w:rsidR="008D27A7" w:rsidRDefault="00926863" w:rsidP="00FE2EBA">
      <w:pPr>
        <w:pStyle w:val="ListParagraph"/>
        <w:numPr>
          <w:ilvl w:val="2"/>
          <w:numId w:val="18"/>
        </w:numPr>
        <w:ind w:left="1134" w:hanging="425"/>
        <w:jc w:val="both"/>
        <w:rPr>
          <w:rFonts w:cstheme="minorHAnsi"/>
        </w:rPr>
      </w:pPr>
      <w:r w:rsidRPr="008D27A7">
        <w:rPr>
          <w:rFonts w:cstheme="minorHAnsi"/>
        </w:rPr>
        <w:t>T</w:t>
      </w:r>
      <w:r w:rsidR="00295CF0" w:rsidRPr="008D27A7">
        <w:rPr>
          <w:rFonts w:cstheme="minorHAnsi"/>
        </w:rPr>
        <w:t xml:space="preserve">here can be no confidence </w:t>
      </w:r>
      <w:r w:rsidR="008D14FA" w:rsidRPr="008D27A7">
        <w:rPr>
          <w:rFonts w:cstheme="minorHAnsi"/>
        </w:rPr>
        <w:t>current predictions are</w:t>
      </w:r>
      <w:r w:rsidR="008D27A7" w:rsidRPr="008D27A7">
        <w:rPr>
          <w:rFonts w:cstheme="minorHAnsi"/>
        </w:rPr>
        <w:t xml:space="preserve"> achievable.</w:t>
      </w:r>
    </w:p>
    <w:p w14:paraId="0AA2671E" w14:textId="1F8353C7" w:rsidR="00975263" w:rsidRDefault="00C16898" w:rsidP="00975263">
      <w:pPr>
        <w:pStyle w:val="ListParagraph"/>
        <w:numPr>
          <w:ilvl w:val="2"/>
          <w:numId w:val="18"/>
        </w:numPr>
        <w:ind w:left="1134" w:hanging="425"/>
        <w:jc w:val="both"/>
        <w:rPr>
          <w:rFonts w:cstheme="minorHAnsi"/>
        </w:rPr>
      </w:pPr>
      <w:r>
        <w:rPr>
          <w:rFonts w:cstheme="minorHAnsi"/>
        </w:rPr>
        <w:t>It is widely recognised, outside SCDC</w:t>
      </w:r>
      <w:r w:rsidR="00C51487">
        <w:rPr>
          <w:rFonts w:cstheme="minorHAnsi"/>
        </w:rPr>
        <w:t>, that n</w:t>
      </w:r>
      <w:r w:rsidR="00295CF0" w:rsidRPr="008D27A7">
        <w:rPr>
          <w:rFonts w:cstheme="minorHAnsi"/>
        </w:rPr>
        <w:t xml:space="preserve">o new enterprise with </w:t>
      </w:r>
      <w:r w:rsidR="00C51487">
        <w:rPr>
          <w:rFonts w:cstheme="minorHAnsi"/>
        </w:rPr>
        <w:t xml:space="preserve">a </w:t>
      </w:r>
      <w:r w:rsidR="00295CF0" w:rsidRPr="008D27A7">
        <w:rPr>
          <w:rFonts w:cstheme="minorHAnsi"/>
        </w:rPr>
        <w:t>significant transportation infrastructure will base</w:t>
      </w:r>
      <w:r w:rsidR="00C51487">
        <w:rPr>
          <w:rFonts w:cstheme="minorHAnsi"/>
        </w:rPr>
        <w:t xml:space="preserve"> itself</w:t>
      </w:r>
      <w:r w:rsidR="00295CF0" w:rsidRPr="008D27A7">
        <w:rPr>
          <w:rFonts w:cstheme="minorHAnsi"/>
        </w:rPr>
        <w:t xml:space="preserve"> </w:t>
      </w:r>
      <w:r w:rsidR="002D15C8">
        <w:rPr>
          <w:rFonts w:cstheme="minorHAnsi"/>
        </w:rPr>
        <w:t xml:space="preserve">in this area </w:t>
      </w:r>
      <w:r w:rsidR="00295CF0" w:rsidRPr="008D27A7">
        <w:rPr>
          <w:rFonts w:cstheme="minorHAnsi"/>
        </w:rPr>
        <w:t xml:space="preserve">unless a solution is found to </w:t>
      </w:r>
      <w:r w:rsidR="002D15C8">
        <w:rPr>
          <w:rFonts w:cstheme="minorHAnsi"/>
        </w:rPr>
        <w:t xml:space="preserve">the impact </w:t>
      </w:r>
      <w:r w:rsidR="000533E6">
        <w:rPr>
          <w:rFonts w:cstheme="minorHAnsi"/>
        </w:rPr>
        <w:t>of</w:t>
      </w:r>
      <w:r w:rsidR="00295CF0" w:rsidRPr="008D27A7">
        <w:rPr>
          <w:rFonts w:cstheme="minorHAnsi"/>
        </w:rPr>
        <w:t xml:space="preserve"> Orwell Bridge </w:t>
      </w:r>
      <w:r w:rsidR="000533E6">
        <w:rPr>
          <w:rFonts w:cstheme="minorHAnsi"/>
        </w:rPr>
        <w:t xml:space="preserve">closures </w:t>
      </w:r>
      <w:r w:rsidR="00295CF0" w:rsidRPr="008D27A7">
        <w:rPr>
          <w:rFonts w:cstheme="minorHAnsi"/>
        </w:rPr>
        <w:t xml:space="preserve">and </w:t>
      </w:r>
      <w:r w:rsidR="000533E6">
        <w:rPr>
          <w:rFonts w:cstheme="minorHAnsi"/>
        </w:rPr>
        <w:t>an overloaded</w:t>
      </w:r>
      <w:r w:rsidR="00295CF0" w:rsidRPr="008D27A7">
        <w:rPr>
          <w:rFonts w:cstheme="minorHAnsi"/>
        </w:rPr>
        <w:t xml:space="preserve"> A14</w:t>
      </w:r>
    </w:p>
    <w:p w14:paraId="7274670C" w14:textId="77777777" w:rsidR="002C6136" w:rsidRPr="00760DC3" w:rsidRDefault="00295CF0" w:rsidP="00760DC3">
      <w:pPr>
        <w:pStyle w:val="ListParagraph"/>
        <w:numPr>
          <w:ilvl w:val="2"/>
          <w:numId w:val="18"/>
        </w:numPr>
        <w:ind w:left="1134" w:hanging="425"/>
        <w:jc w:val="both"/>
        <w:rPr>
          <w:rFonts w:cstheme="minorHAnsi"/>
        </w:rPr>
      </w:pPr>
      <w:r w:rsidRPr="00760DC3">
        <w:rPr>
          <w:rFonts w:cstheme="minorHAnsi"/>
        </w:rPr>
        <w:t>Para 60 of the NPPF – July 2018 states: “</w:t>
      </w:r>
      <w:r w:rsidRPr="00760DC3">
        <w:rPr>
          <w:rFonts w:cstheme="minorHAnsi"/>
          <w:i/>
        </w:rPr>
        <w:t>To determine the minimum number of homes needed, strategic policies should be informed by a local housing need assessment, conducted using the standard method in national planning guidance – unless exceptional circumstances justify an alternative approach</w:t>
      </w:r>
      <w:r w:rsidR="00B304D7" w:rsidRPr="00760DC3">
        <w:rPr>
          <w:rFonts w:cstheme="minorHAnsi"/>
          <w:i/>
        </w:rPr>
        <w:t>,</w:t>
      </w:r>
      <w:r w:rsidRPr="00760DC3">
        <w:rPr>
          <w:rFonts w:cstheme="minorHAnsi"/>
          <w:i/>
        </w:rPr>
        <w:t xml:space="preserve"> which also reflects current and future demographic trends and market signals. In addition to the local housing need figure, any needs that cannot be met within neighbouring areas should also be </w:t>
      </w:r>
      <w:proofErr w:type="gramStart"/>
      <w:r w:rsidRPr="00760DC3">
        <w:rPr>
          <w:rFonts w:cstheme="minorHAnsi"/>
          <w:i/>
        </w:rPr>
        <w:t>taken into account</w:t>
      </w:r>
      <w:proofErr w:type="gramEnd"/>
      <w:r w:rsidRPr="00760DC3">
        <w:rPr>
          <w:rFonts w:cstheme="minorHAnsi"/>
          <w:i/>
        </w:rPr>
        <w:t xml:space="preserve"> in establishing the amount of housing to be planned for”</w:t>
      </w:r>
    </w:p>
    <w:p w14:paraId="54A67E71" w14:textId="77777777" w:rsidR="00196B78" w:rsidRPr="00196B78" w:rsidRDefault="00295CF0" w:rsidP="00196B78">
      <w:pPr>
        <w:pStyle w:val="ListParagraph"/>
        <w:numPr>
          <w:ilvl w:val="2"/>
          <w:numId w:val="18"/>
        </w:numPr>
        <w:ind w:left="1134" w:hanging="425"/>
        <w:jc w:val="both"/>
        <w:rPr>
          <w:rFonts w:cstheme="minorHAnsi"/>
          <w:i/>
        </w:rPr>
      </w:pPr>
      <w:r w:rsidRPr="002C6136">
        <w:rPr>
          <w:rFonts w:cstheme="minorHAnsi"/>
        </w:rPr>
        <w:t xml:space="preserve">Given the </w:t>
      </w:r>
      <w:r w:rsidR="00220E09" w:rsidRPr="002C6136">
        <w:rPr>
          <w:rFonts w:cstheme="minorHAnsi"/>
        </w:rPr>
        <w:t>above observations, there is an evident need to treat the Felixstowe Peninsular</w:t>
      </w:r>
      <w:r w:rsidR="00096CCD" w:rsidRPr="002C6136">
        <w:rPr>
          <w:rFonts w:cstheme="minorHAnsi"/>
        </w:rPr>
        <w:t xml:space="preserve"> as an exceptional circumstance justifying </w:t>
      </w:r>
      <w:r w:rsidR="00F5473D" w:rsidRPr="002C6136">
        <w:rPr>
          <w:rFonts w:cstheme="minorHAnsi"/>
        </w:rPr>
        <w:t>“</w:t>
      </w:r>
      <w:r w:rsidR="00096CCD" w:rsidRPr="002C6136">
        <w:rPr>
          <w:rFonts w:cstheme="minorHAnsi"/>
        </w:rPr>
        <w:t>an alternative approac</w:t>
      </w:r>
      <w:r w:rsidR="00196B78">
        <w:rPr>
          <w:rFonts w:cstheme="minorHAnsi"/>
        </w:rPr>
        <w:t>h</w:t>
      </w:r>
    </w:p>
    <w:p w14:paraId="2A69D5FF" w14:textId="77777777" w:rsidR="00FC429F" w:rsidRPr="00FC429F" w:rsidRDefault="00295CF0" w:rsidP="00FC429F">
      <w:pPr>
        <w:pStyle w:val="ListParagraph"/>
        <w:numPr>
          <w:ilvl w:val="2"/>
          <w:numId w:val="18"/>
        </w:numPr>
        <w:ind w:left="1134" w:hanging="425"/>
        <w:jc w:val="both"/>
        <w:rPr>
          <w:rFonts w:cstheme="minorHAnsi"/>
          <w:i/>
        </w:rPr>
      </w:pPr>
      <w:r w:rsidRPr="00196B78">
        <w:rPr>
          <w:rFonts w:cstheme="minorHAnsi"/>
        </w:rPr>
        <w:t>When comparing the number of dwellings under construction, on the Felixstowe Peninsular (including Walton and the Trimley villages), there is a clear imbalance in comparison with the rest of the district.</w:t>
      </w:r>
    </w:p>
    <w:p w14:paraId="188F371F" w14:textId="77777777" w:rsidR="00271910" w:rsidRPr="00271910" w:rsidRDefault="00117DA4" w:rsidP="008B5C61">
      <w:pPr>
        <w:pStyle w:val="ListParagraph"/>
        <w:numPr>
          <w:ilvl w:val="2"/>
          <w:numId w:val="18"/>
        </w:numPr>
        <w:ind w:left="1134" w:hanging="425"/>
        <w:jc w:val="both"/>
        <w:rPr>
          <w:rFonts w:eastAsia="Times New Roman" w:cstheme="minorHAnsi"/>
        </w:rPr>
      </w:pPr>
      <w:r w:rsidRPr="00271910">
        <w:rPr>
          <w:rFonts w:cstheme="minorHAnsi"/>
          <w:bCs/>
        </w:rPr>
        <w:t xml:space="preserve">Housing data </w:t>
      </w:r>
      <w:r w:rsidR="00560AB8" w:rsidRPr="00271910">
        <w:rPr>
          <w:rFonts w:cstheme="minorHAnsi"/>
          <w:bCs/>
        </w:rPr>
        <w:t>informing the Plan is ambiguous, misleading</w:t>
      </w:r>
      <w:r w:rsidR="00C26BE5" w:rsidRPr="00271910">
        <w:rPr>
          <w:rFonts w:cstheme="minorHAnsi"/>
          <w:bCs/>
        </w:rPr>
        <w:t xml:space="preserve"> and inappropriate.</w:t>
      </w:r>
    </w:p>
    <w:p w14:paraId="6BE8BE52" w14:textId="77777777" w:rsidR="00271910" w:rsidRPr="00271910" w:rsidRDefault="00FF7658" w:rsidP="00736C4F">
      <w:pPr>
        <w:pStyle w:val="ListParagraph"/>
        <w:numPr>
          <w:ilvl w:val="2"/>
          <w:numId w:val="18"/>
        </w:numPr>
        <w:ind w:left="1134" w:hanging="425"/>
        <w:jc w:val="both"/>
        <w:rPr>
          <w:rFonts w:eastAsia="Calibri" w:cstheme="minorHAnsi"/>
        </w:rPr>
      </w:pPr>
      <w:r w:rsidRPr="00271910">
        <w:rPr>
          <w:rFonts w:cstheme="minorHAnsi"/>
        </w:rPr>
        <w:t>The</w:t>
      </w:r>
      <w:r w:rsidR="00BE7657" w:rsidRPr="00271910">
        <w:rPr>
          <w:rFonts w:cstheme="minorHAnsi"/>
        </w:rPr>
        <w:t xml:space="preserve">re appears to be no rational basis for </w:t>
      </w:r>
      <w:r w:rsidR="00CF2AB5" w:rsidRPr="00271910">
        <w:rPr>
          <w:rFonts w:cstheme="minorHAnsi"/>
        </w:rPr>
        <w:t xml:space="preserve">new </w:t>
      </w:r>
      <w:r w:rsidR="00BE7657" w:rsidRPr="00271910">
        <w:rPr>
          <w:rFonts w:cstheme="minorHAnsi"/>
        </w:rPr>
        <w:t>housi</w:t>
      </w:r>
      <w:r w:rsidR="00263528" w:rsidRPr="00271910">
        <w:rPr>
          <w:rFonts w:cstheme="minorHAnsi"/>
        </w:rPr>
        <w:t>ng allocations</w:t>
      </w:r>
      <w:r w:rsidR="00CF2AB5" w:rsidRPr="00271910">
        <w:rPr>
          <w:rFonts w:cstheme="minorHAnsi"/>
        </w:rPr>
        <w:t xml:space="preserve"> </w:t>
      </w:r>
    </w:p>
    <w:p w14:paraId="7EEF4326" w14:textId="77777777" w:rsidR="00271910" w:rsidRPr="00271910" w:rsidRDefault="0095180D" w:rsidP="00271910">
      <w:pPr>
        <w:pStyle w:val="ListParagraph"/>
        <w:numPr>
          <w:ilvl w:val="2"/>
          <w:numId w:val="18"/>
        </w:numPr>
        <w:ind w:left="1134" w:hanging="425"/>
        <w:jc w:val="both"/>
        <w:rPr>
          <w:rFonts w:eastAsia="Calibri" w:cstheme="minorHAnsi"/>
        </w:rPr>
      </w:pPr>
      <w:r w:rsidRPr="00271910">
        <w:rPr>
          <w:rFonts w:eastAsia="Times New Roman" w:cstheme="minorHAnsi"/>
        </w:rPr>
        <w:t xml:space="preserve">Within the Trimley villages, the </w:t>
      </w:r>
      <w:r w:rsidR="00FF7658" w:rsidRPr="00271910">
        <w:rPr>
          <w:rFonts w:eastAsia="Times New Roman" w:cstheme="minorHAnsi"/>
        </w:rPr>
        <w:t xml:space="preserve">combined population has </w:t>
      </w:r>
      <w:r w:rsidRPr="00271910">
        <w:rPr>
          <w:rFonts w:eastAsia="Times New Roman" w:cstheme="minorHAnsi"/>
        </w:rPr>
        <w:t>increased</w:t>
      </w:r>
      <w:r w:rsidR="00FF7658" w:rsidRPr="00271910">
        <w:rPr>
          <w:rFonts w:eastAsia="Times New Roman" w:cstheme="minorHAnsi"/>
        </w:rPr>
        <w:t xml:space="preserve"> </w:t>
      </w:r>
      <w:r w:rsidRPr="00271910">
        <w:rPr>
          <w:rFonts w:eastAsia="Times New Roman" w:cstheme="minorHAnsi"/>
        </w:rPr>
        <w:t xml:space="preserve">by only </w:t>
      </w:r>
      <w:r w:rsidR="00FF7658" w:rsidRPr="00271910">
        <w:rPr>
          <w:rFonts w:eastAsia="Times New Roman" w:cstheme="minorHAnsi"/>
        </w:rPr>
        <w:t>1.89%</w:t>
      </w:r>
      <w:r w:rsidRPr="00271910">
        <w:rPr>
          <w:rFonts w:eastAsia="Times New Roman" w:cstheme="minorHAnsi"/>
        </w:rPr>
        <w:t xml:space="preserve"> demonstrating there is </w:t>
      </w:r>
      <w:r w:rsidR="00476F18" w:rsidRPr="00271910">
        <w:rPr>
          <w:rFonts w:eastAsia="Times New Roman" w:cstheme="minorHAnsi"/>
        </w:rPr>
        <w:t>no</w:t>
      </w:r>
      <w:r w:rsidR="00FF7658" w:rsidRPr="00271910">
        <w:rPr>
          <w:rFonts w:eastAsia="Times New Roman" w:cstheme="minorHAnsi"/>
        </w:rPr>
        <w:t xml:space="preserve"> need for new housing. However, </w:t>
      </w:r>
      <w:r w:rsidR="002E6B69" w:rsidRPr="00271910">
        <w:rPr>
          <w:rFonts w:eastAsia="Times New Roman" w:cstheme="minorHAnsi"/>
        </w:rPr>
        <w:t xml:space="preserve">the Plan </w:t>
      </w:r>
      <w:r w:rsidR="001E773E" w:rsidRPr="00271910">
        <w:rPr>
          <w:rFonts w:eastAsia="Times New Roman" w:cstheme="minorHAnsi"/>
        </w:rPr>
        <w:t>p</w:t>
      </w:r>
      <w:r w:rsidR="002E6B69" w:rsidRPr="00271910">
        <w:rPr>
          <w:rFonts w:eastAsia="Times New Roman" w:cstheme="minorHAnsi"/>
        </w:rPr>
        <w:t xml:space="preserve">roposes house numbers should more than </w:t>
      </w:r>
      <w:r w:rsidR="001E773E" w:rsidRPr="00271910">
        <w:rPr>
          <w:rFonts w:eastAsia="Times New Roman" w:cstheme="minorHAnsi"/>
        </w:rPr>
        <w:t>double.</w:t>
      </w:r>
    </w:p>
    <w:p w14:paraId="5B46A832" w14:textId="77777777" w:rsidR="003804B2" w:rsidRDefault="00707CA3" w:rsidP="009C0F6D">
      <w:pPr>
        <w:pStyle w:val="ListParagraph"/>
        <w:numPr>
          <w:ilvl w:val="2"/>
          <w:numId w:val="18"/>
        </w:numPr>
        <w:ind w:left="1134" w:hanging="425"/>
        <w:jc w:val="both"/>
        <w:rPr>
          <w:rFonts w:cstheme="minorHAnsi"/>
        </w:rPr>
      </w:pPr>
      <w:r w:rsidRPr="003804B2">
        <w:rPr>
          <w:rFonts w:eastAsia="Times New Roman" w:cstheme="minorHAnsi"/>
        </w:rPr>
        <w:t>Windfall housing, predicted at 50 per year</w:t>
      </w:r>
      <w:r w:rsidR="00FF7658" w:rsidRPr="003804B2">
        <w:rPr>
          <w:rFonts w:cstheme="minorHAnsi"/>
        </w:rPr>
        <w:t xml:space="preserve"> </w:t>
      </w:r>
      <w:r w:rsidRPr="003804B2">
        <w:rPr>
          <w:rFonts w:cstheme="minorHAnsi"/>
        </w:rPr>
        <w:t>has been 4 times</w:t>
      </w:r>
      <w:r w:rsidR="00632CC0" w:rsidRPr="003804B2">
        <w:rPr>
          <w:rFonts w:cstheme="minorHAnsi"/>
        </w:rPr>
        <w:t xml:space="preserve"> that figure, yet the Plan continues to use a figure of 50 – patently erroneous.</w:t>
      </w:r>
    </w:p>
    <w:p w14:paraId="2EF82AB2" w14:textId="020D8226" w:rsidR="00FF7658" w:rsidRPr="003804B2" w:rsidRDefault="00382C52" w:rsidP="009C0F6D">
      <w:pPr>
        <w:pStyle w:val="ListParagraph"/>
        <w:numPr>
          <w:ilvl w:val="2"/>
          <w:numId w:val="18"/>
        </w:numPr>
        <w:ind w:left="1134" w:hanging="425"/>
        <w:jc w:val="both"/>
        <w:rPr>
          <w:rFonts w:cstheme="minorHAnsi"/>
        </w:rPr>
      </w:pPr>
      <w:r w:rsidRPr="003804B2">
        <w:rPr>
          <w:rFonts w:cstheme="minorHAnsi"/>
        </w:rPr>
        <w:t>The</w:t>
      </w:r>
      <w:r w:rsidR="00001184" w:rsidRPr="003804B2">
        <w:rPr>
          <w:rFonts w:cstheme="minorHAnsi"/>
        </w:rPr>
        <w:t xml:space="preserve">re is no evident provision for the enforcement of </w:t>
      </w:r>
      <w:r w:rsidR="00674662" w:rsidRPr="003804B2">
        <w:rPr>
          <w:rFonts w:cstheme="minorHAnsi"/>
        </w:rPr>
        <w:t>affordable home</w:t>
      </w:r>
      <w:r w:rsidR="009E5AEB" w:rsidRPr="003804B2">
        <w:rPr>
          <w:rFonts w:cstheme="minorHAnsi"/>
        </w:rPr>
        <w:t xml:space="preserve"> /</w:t>
      </w:r>
      <w:r w:rsidR="00ED2ADE" w:rsidRPr="003804B2">
        <w:rPr>
          <w:rFonts w:cstheme="minorHAnsi"/>
        </w:rPr>
        <w:t>socia</w:t>
      </w:r>
      <w:r w:rsidR="00674662" w:rsidRPr="003804B2">
        <w:rPr>
          <w:rFonts w:cstheme="minorHAnsi"/>
        </w:rPr>
        <w:t>l housing</w:t>
      </w:r>
      <w:r w:rsidR="00001184" w:rsidRPr="003804B2">
        <w:rPr>
          <w:rFonts w:cstheme="minorHAnsi"/>
        </w:rPr>
        <w:t xml:space="preserve"> </w:t>
      </w:r>
      <w:r w:rsidR="00ED2ADE" w:rsidRPr="003804B2">
        <w:rPr>
          <w:rFonts w:cstheme="minorHAnsi"/>
        </w:rPr>
        <w:t>targets, currently down by 50%</w:t>
      </w:r>
    </w:p>
    <w:p w14:paraId="033F202C" w14:textId="77777777" w:rsidR="00FF7658" w:rsidRPr="00AB1EB2" w:rsidRDefault="00FF7658" w:rsidP="00FF7658">
      <w:pPr>
        <w:pStyle w:val="ListParagraph"/>
        <w:numPr>
          <w:ilvl w:val="2"/>
          <w:numId w:val="18"/>
        </w:numPr>
        <w:ind w:left="1134" w:hanging="425"/>
        <w:jc w:val="both"/>
      </w:pPr>
      <w:r>
        <w:t>The Plan fails to recognise ‘approved’ or ‘brownfield’ land should be used ahead of green field sites</w:t>
      </w:r>
    </w:p>
    <w:p w14:paraId="156B1B99" w14:textId="77777777" w:rsidR="00E902DF" w:rsidRDefault="00FF7658" w:rsidP="00E902DF">
      <w:pPr>
        <w:pStyle w:val="ListParagraph"/>
        <w:numPr>
          <w:ilvl w:val="2"/>
          <w:numId w:val="18"/>
        </w:numPr>
        <w:ind w:left="1134" w:hanging="425"/>
        <w:jc w:val="both"/>
        <w:rPr>
          <w:rFonts w:cstheme="minorHAnsi"/>
        </w:rPr>
      </w:pPr>
      <w:proofErr w:type="gramStart"/>
      <w:r w:rsidRPr="00F939D7">
        <w:rPr>
          <w:rFonts w:cstheme="minorHAnsi"/>
        </w:rPr>
        <w:t>With regard to</w:t>
      </w:r>
      <w:proofErr w:type="gramEnd"/>
      <w:r w:rsidRPr="00F939D7">
        <w:rPr>
          <w:rFonts w:cstheme="minorHAnsi"/>
        </w:rPr>
        <w:t xml:space="preserve"> the preceding point, the Plan appears to breach NPPF, paragraph 2018</w:t>
      </w:r>
    </w:p>
    <w:p w14:paraId="6495DADC" w14:textId="77777777" w:rsidR="00BB2E30" w:rsidRDefault="00295CF0" w:rsidP="00BB2E30">
      <w:pPr>
        <w:pStyle w:val="ListParagraph"/>
        <w:numPr>
          <w:ilvl w:val="2"/>
          <w:numId w:val="18"/>
        </w:numPr>
        <w:ind w:left="1134" w:hanging="425"/>
        <w:jc w:val="both"/>
        <w:rPr>
          <w:rFonts w:cstheme="minorHAnsi"/>
        </w:rPr>
      </w:pPr>
      <w:r w:rsidRPr="00E902DF">
        <w:rPr>
          <w:rFonts w:cstheme="minorHAnsi"/>
        </w:rPr>
        <w:t xml:space="preserve">The situation for Trimley St Martin becomes worse when consideration is given to future ‘potential sites’ (417 dwellings) which, for the time being at least, have been discounted in favour of SCLP 12.66. </w:t>
      </w:r>
    </w:p>
    <w:p w14:paraId="3F0CE26A" w14:textId="5844D2A4" w:rsidR="00295CF0" w:rsidRPr="0004754D" w:rsidRDefault="00295CF0" w:rsidP="00D8420B">
      <w:pPr>
        <w:pStyle w:val="ListParagraph"/>
        <w:numPr>
          <w:ilvl w:val="2"/>
          <w:numId w:val="18"/>
        </w:numPr>
        <w:ind w:left="1134" w:hanging="425"/>
        <w:jc w:val="both"/>
        <w:rPr>
          <w:rFonts w:cstheme="minorHAnsi"/>
        </w:rPr>
      </w:pPr>
      <w:r w:rsidRPr="00BB2E30">
        <w:rPr>
          <w:rFonts w:cstheme="minorHAnsi"/>
        </w:rPr>
        <w:t xml:space="preserve">On the basis that </w:t>
      </w:r>
      <w:r w:rsidR="006E70AF">
        <w:rPr>
          <w:rFonts w:cstheme="minorHAnsi"/>
        </w:rPr>
        <w:t>the</w:t>
      </w:r>
      <w:r w:rsidR="00056063">
        <w:rPr>
          <w:rFonts w:cstheme="minorHAnsi"/>
        </w:rPr>
        <w:t xml:space="preserve"> </w:t>
      </w:r>
      <w:r w:rsidRPr="00BB2E30">
        <w:rPr>
          <w:rFonts w:cstheme="minorHAnsi"/>
        </w:rPr>
        <w:t>allocation of Innocence Farm</w:t>
      </w:r>
      <w:r w:rsidR="00BB2E30">
        <w:rPr>
          <w:rFonts w:cstheme="minorHAnsi"/>
        </w:rPr>
        <w:t xml:space="preserve"> as an employment</w:t>
      </w:r>
      <w:r w:rsidR="00902489">
        <w:rPr>
          <w:rFonts w:cstheme="minorHAnsi"/>
        </w:rPr>
        <w:t xml:space="preserve"> site will be found to be un</w:t>
      </w:r>
      <w:r w:rsidRPr="00BB2E30">
        <w:rPr>
          <w:rFonts w:cstheme="minorHAnsi"/>
        </w:rPr>
        <w:t>sound</w:t>
      </w:r>
      <w:r w:rsidR="00902489">
        <w:rPr>
          <w:rFonts w:cstheme="minorHAnsi"/>
        </w:rPr>
        <w:t>,</w:t>
      </w:r>
      <w:r w:rsidRPr="00BB2E30">
        <w:rPr>
          <w:rFonts w:cstheme="minorHAnsi"/>
        </w:rPr>
        <w:t xml:space="preserve"> we additionally contend the Plan is further unsound in respect of the disproportionate amount of housing supply allocated to the Trimley Villages. The Plan has failed to adequately demonstrate the need for such widespread development</w:t>
      </w:r>
      <w:r w:rsidR="00D61E69">
        <w:rPr>
          <w:rFonts w:cstheme="minorHAnsi"/>
        </w:rPr>
        <w:t>.</w:t>
      </w:r>
      <w:r w:rsidRPr="00BB2E30">
        <w:rPr>
          <w:rFonts w:cstheme="minorHAnsi"/>
        </w:rPr>
        <w:t xml:space="preserve"> </w:t>
      </w:r>
    </w:p>
    <w:p w14:paraId="258C21FB" w14:textId="77777777" w:rsidR="00295CF0" w:rsidRPr="0004754D" w:rsidRDefault="00295CF0" w:rsidP="005C53C0">
      <w:pPr>
        <w:ind w:left="1134" w:hanging="425"/>
        <w:contextualSpacing/>
        <w:jc w:val="both"/>
        <w:rPr>
          <w:rFonts w:cstheme="minorHAnsi"/>
        </w:rPr>
      </w:pPr>
    </w:p>
    <w:p w14:paraId="0F2B8216" w14:textId="1D983709" w:rsidR="006E3F77" w:rsidRPr="006E3F77" w:rsidRDefault="00295CF0" w:rsidP="006E3F77">
      <w:pPr>
        <w:numPr>
          <w:ilvl w:val="2"/>
          <w:numId w:val="18"/>
        </w:numPr>
        <w:ind w:left="1134" w:hanging="425"/>
        <w:contextualSpacing/>
        <w:jc w:val="both"/>
        <w:rPr>
          <w:rFonts w:cstheme="minorHAnsi"/>
        </w:rPr>
      </w:pPr>
      <w:r w:rsidRPr="0004754D">
        <w:rPr>
          <w:rFonts w:cstheme="minorHAnsi"/>
        </w:rPr>
        <w:lastRenderedPageBreak/>
        <w:t>In 2011 the Trimley Census population figure was circa. 1940.</w:t>
      </w:r>
      <w:r w:rsidRPr="0004754D">
        <w:rPr>
          <w:rFonts w:cstheme="minorHAnsi"/>
          <w:color w:val="26282A"/>
          <w:lang w:val="en-US"/>
        </w:rPr>
        <w:t xml:space="preserve">The </w:t>
      </w:r>
      <w:r w:rsidRPr="0004754D">
        <w:rPr>
          <w:rFonts w:cstheme="minorHAnsi"/>
        </w:rPr>
        <w:t>existing and proposed developments (806 dwellings) in Trimley housing represents an increase of approximately 1900 people – almost doubling the population</w:t>
      </w:r>
      <w:r w:rsidR="006E3F77">
        <w:rPr>
          <w:rFonts w:cstheme="minorHAnsi"/>
        </w:rPr>
        <w:t>.</w:t>
      </w:r>
    </w:p>
    <w:p w14:paraId="6297B31B" w14:textId="2E43D99B" w:rsidR="006E70AF" w:rsidRPr="0004754D" w:rsidRDefault="00471C30" w:rsidP="00110730">
      <w:pPr>
        <w:numPr>
          <w:ilvl w:val="2"/>
          <w:numId w:val="18"/>
        </w:numPr>
        <w:ind w:left="1134" w:hanging="425"/>
        <w:contextualSpacing/>
        <w:jc w:val="both"/>
        <w:rPr>
          <w:rFonts w:cstheme="minorHAnsi"/>
        </w:rPr>
      </w:pPr>
      <w:r>
        <w:rPr>
          <w:rFonts w:cstheme="minorHAnsi"/>
        </w:rPr>
        <w:t>In terms of the total housebuilding requirement</w:t>
      </w:r>
      <w:r w:rsidR="00F42DAD">
        <w:rPr>
          <w:rFonts w:cstheme="minorHAnsi"/>
        </w:rPr>
        <w:t>, the</w:t>
      </w:r>
      <w:r w:rsidR="006E70AF" w:rsidRPr="006E3F77">
        <w:rPr>
          <w:rFonts w:cstheme="minorHAnsi"/>
        </w:rPr>
        <w:t xml:space="preserve"> contribution from Trimley St Martin and Trimley St Mary is 776 </w:t>
      </w:r>
      <w:r w:rsidR="00F42DAD">
        <w:rPr>
          <w:rFonts w:cstheme="minorHAnsi"/>
        </w:rPr>
        <w:t>(</w:t>
      </w:r>
      <w:r w:rsidR="006E70AF" w:rsidRPr="006E3F77">
        <w:rPr>
          <w:rFonts w:cstheme="minorHAnsi"/>
        </w:rPr>
        <w:t>49% of th</w:t>
      </w:r>
      <w:r w:rsidR="00F42DAD">
        <w:rPr>
          <w:rFonts w:cstheme="minorHAnsi"/>
        </w:rPr>
        <w:t>e</w:t>
      </w:r>
      <w:r w:rsidR="006E70AF" w:rsidRPr="006E3F77">
        <w:rPr>
          <w:rFonts w:cstheme="minorHAnsi"/>
        </w:rPr>
        <w:t xml:space="preserve"> total</w:t>
      </w:r>
    </w:p>
    <w:p w14:paraId="125529A3" w14:textId="77777777" w:rsidR="005D2A91" w:rsidRPr="005D2A91" w:rsidRDefault="006E70AF" w:rsidP="00367697">
      <w:pPr>
        <w:numPr>
          <w:ilvl w:val="2"/>
          <w:numId w:val="18"/>
        </w:numPr>
        <w:ind w:left="1134" w:hanging="425"/>
        <w:contextualSpacing/>
        <w:jc w:val="both"/>
        <w:rPr>
          <w:rFonts w:cstheme="minorHAnsi"/>
        </w:rPr>
      </w:pPr>
      <w:r w:rsidRPr="0004754D">
        <w:rPr>
          <w:rFonts w:cstheme="minorHAnsi"/>
          <w:color w:val="26282A"/>
          <w:lang w:val="en-US"/>
        </w:rPr>
        <w:t xml:space="preserve"> </w:t>
      </w:r>
      <w:r w:rsidR="00110730">
        <w:rPr>
          <w:rFonts w:cstheme="minorHAnsi"/>
          <w:color w:val="26282A"/>
          <w:lang w:val="en-US"/>
        </w:rPr>
        <w:t>The T</w:t>
      </w:r>
      <w:r w:rsidR="00EF535A">
        <w:rPr>
          <w:rFonts w:cstheme="minorHAnsi"/>
          <w:color w:val="26282A"/>
          <w:lang w:val="en-US"/>
        </w:rPr>
        <w:t>rimley villages are</w:t>
      </w:r>
      <w:r w:rsidRPr="0004754D">
        <w:rPr>
          <w:rFonts w:cstheme="minorHAnsi"/>
          <w:color w:val="26282A"/>
          <w:lang w:val="en-US"/>
        </w:rPr>
        <w:t xml:space="preserve"> bearing a wholly unwarranted and disproportionate </w:t>
      </w:r>
      <w:r w:rsidR="00EF535A">
        <w:rPr>
          <w:rFonts w:cstheme="minorHAnsi"/>
          <w:color w:val="26282A"/>
          <w:lang w:val="en-US"/>
        </w:rPr>
        <w:t>share</w:t>
      </w:r>
      <w:r w:rsidRPr="0004754D">
        <w:rPr>
          <w:rFonts w:cstheme="minorHAnsi"/>
          <w:color w:val="26282A"/>
          <w:lang w:val="en-US"/>
        </w:rPr>
        <w:t xml:space="preserve"> of </w:t>
      </w:r>
      <w:r w:rsidR="005B01FC">
        <w:rPr>
          <w:rFonts w:cstheme="minorHAnsi"/>
          <w:color w:val="26282A"/>
          <w:lang w:val="en-US"/>
        </w:rPr>
        <w:t xml:space="preserve">the </w:t>
      </w:r>
      <w:r w:rsidRPr="0004754D">
        <w:rPr>
          <w:rFonts w:cstheme="minorHAnsi"/>
          <w:color w:val="26282A"/>
          <w:lang w:val="en-US"/>
        </w:rPr>
        <w:t xml:space="preserve">new </w:t>
      </w:r>
      <w:r w:rsidR="005B01FC">
        <w:rPr>
          <w:rFonts w:cstheme="minorHAnsi"/>
          <w:color w:val="26282A"/>
          <w:lang w:val="en-US"/>
        </w:rPr>
        <w:t>housing burden</w:t>
      </w:r>
      <w:r w:rsidR="005D2A91">
        <w:rPr>
          <w:rFonts w:cstheme="minorHAnsi"/>
          <w:color w:val="26282A"/>
          <w:lang w:val="en-US"/>
        </w:rPr>
        <w:t>.</w:t>
      </w:r>
    </w:p>
    <w:p w14:paraId="2AE13CE3" w14:textId="1140CEFC" w:rsidR="00367697" w:rsidRPr="00367697" w:rsidRDefault="005D2A91" w:rsidP="00367697">
      <w:pPr>
        <w:numPr>
          <w:ilvl w:val="2"/>
          <w:numId w:val="18"/>
        </w:numPr>
        <w:ind w:left="1134" w:hanging="425"/>
        <w:contextualSpacing/>
        <w:jc w:val="both"/>
        <w:rPr>
          <w:rFonts w:cstheme="minorHAnsi"/>
        </w:rPr>
      </w:pPr>
      <w:r>
        <w:rPr>
          <w:rFonts w:cstheme="minorHAnsi"/>
          <w:color w:val="26282A"/>
          <w:lang w:val="en-US"/>
        </w:rPr>
        <w:t xml:space="preserve">The </w:t>
      </w:r>
      <w:r w:rsidR="00367697" w:rsidRPr="00367697">
        <w:rPr>
          <w:rFonts w:cstheme="minorHAnsi"/>
          <w:color w:val="26282A"/>
          <w:lang w:val="en-US"/>
        </w:rPr>
        <w:t xml:space="preserve">‘settlement hierarchy’, </w:t>
      </w:r>
      <w:r>
        <w:rPr>
          <w:rFonts w:cstheme="minorHAnsi"/>
          <w:color w:val="26282A"/>
          <w:lang w:val="en-US"/>
        </w:rPr>
        <w:t xml:space="preserve">has been abused such that the </w:t>
      </w:r>
      <w:r w:rsidR="00F430DB">
        <w:rPr>
          <w:rFonts w:cstheme="minorHAnsi"/>
          <w:color w:val="26282A"/>
          <w:lang w:val="en-US"/>
        </w:rPr>
        <w:t>Trimley Villages are being allocated a large housebuilding requirement</w:t>
      </w:r>
      <w:r w:rsidR="00E26445">
        <w:rPr>
          <w:rFonts w:cstheme="minorHAnsi"/>
          <w:color w:val="26282A"/>
          <w:lang w:val="en-US"/>
        </w:rPr>
        <w:t xml:space="preserve">, </w:t>
      </w:r>
      <w:r w:rsidR="00F430DB">
        <w:rPr>
          <w:rFonts w:cstheme="minorHAnsi"/>
          <w:color w:val="26282A"/>
          <w:lang w:val="en-US"/>
        </w:rPr>
        <w:t xml:space="preserve">inconsistent with their status as </w:t>
      </w:r>
      <w:r w:rsidR="00E26445">
        <w:rPr>
          <w:rFonts w:cstheme="minorHAnsi"/>
          <w:color w:val="26282A"/>
          <w:lang w:val="en-US"/>
        </w:rPr>
        <w:t>“L</w:t>
      </w:r>
      <w:r w:rsidR="00F430DB">
        <w:rPr>
          <w:rFonts w:cstheme="minorHAnsi"/>
          <w:color w:val="26282A"/>
          <w:lang w:val="en-US"/>
        </w:rPr>
        <w:t xml:space="preserve">arge </w:t>
      </w:r>
      <w:r w:rsidR="00E26445">
        <w:rPr>
          <w:rFonts w:cstheme="minorHAnsi"/>
          <w:color w:val="26282A"/>
          <w:lang w:val="en-US"/>
        </w:rPr>
        <w:t>V</w:t>
      </w:r>
      <w:r w:rsidR="00F430DB">
        <w:rPr>
          <w:rFonts w:cstheme="minorHAnsi"/>
          <w:color w:val="26282A"/>
          <w:lang w:val="en-US"/>
        </w:rPr>
        <w:t>illages.”</w:t>
      </w:r>
    </w:p>
    <w:p w14:paraId="6A583016" w14:textId="5439A02C" w:rsidR="004E041A" w:rsidRDefault="004E041A" w:rsidP="006E70AF">
      <w:pPr>
        <w:ind w:left="1134" w:hanging="425"/>
        <w:contextualSpacing/>
        <w:jc w:val="both"/>
        <w:rPr>
          <w:rFonts w:cstheme="minorHAnsi"/>
        </w:rPr>
      </w:pPr>
    </w:p>
    <w:p w14:paraId="3A0DCCBE" w14:textId="6DE9408D" w:rsidR="004E041A" w:rsidRPr="00806DF1" w:rsidRDefault="004E041A" w:rsidP="00806DF1">
      <w:pPr>
        <w:pStyle w:val="ListParagraph"/>
        <w:numPr>
          <w:ilvl w:val="0"/>
          <w:numId w:val="3"/>
        </w:numPr>
        <w:ind w:left="709" w:hanging="709"/>
        <w:jc w:val="both"/>
        <w:rPr>
          <w:rFonts w:cstheme="minorHAnsi"/>
          <w:u w:val="single"/>
        </w:rPr>
      </w:pPr>
      <w:r w:rsidRPr="004B5438">
        <w:rPr>
          <w:rFonts w:cstheme="minorHAnsi"/>
          <w:u w:val="single"/>
        </w:rPr>
        <w:t>It is NOT “</w:t>
      </w:r>
      <w:r>
        <w:rPr>
          <w:rFonts w:cstheme="minorHAnsi"/>
          <w:u w:val="single"/>
        </w:rPr>
        <w:t>Effective</w:t>
      </w:r>
      <w:r w:rsidRPr="004B5438">
        <w:rPr>
          <w:rFonts w:cstheme="minorHAnsi"/>
          <w:u w:val="single"/>
        </w:rPr>
        <w:t>” because:</w:t>
      </w:r>
    </w:p>
    <w:p w14:paraId="3453AE14" w14:textId="77777777" w:rsidR="00806DF1" w:rsidRDefault="00806DF1" w:rsidP="00806DF1">
      <w:pPr>
        <w:pStyle w:val="ListParagraph"/>
        <w:ind w:left="1080"/>
        <w:jc w:val="both"/>
        <w:rPr>
          <w:rFonts w:cstheme="minorHAnsi"/>
        </w:rPr>
      </w:pPr>
    </w:p>
    <w:p w14:paraId="777ECF63" w14:textId="77777777" w:rsidR="00806DF1" w:rsidRDefault="00806DF1" w:rsidP="00806DF1">
      <w:pPr>
        <w:pStyle w:val="ListParagraph"/>
        <w:numPr>
          <w:ilvl w:val="0"/>
          <w:numId w:val="19"/>
        </w:numPr>
        <w:jc w:val="both"/>
        <w:rPr>
          <w:rFonts w:cstheme="minorHAnsi"/>
        </w:rPr>
      </w:pPr>
      <w:r>
        <w:rPr>
          <w:rFonts w:cstheme="minorHAnsi"/>
        </w:rPr>
        <w:t>There is no evidence of co-operation with neighbouring councils</w:t>
      </w:r>
    </w:p>
    <w:p w14:paraId="56E6EEF1" w14:textId="77777777" w:rsidR="00806DF1" w:rsidRDefault="00806DF1" w:rsidP="00806DF1">
      <w:pPr>
        <w:pStyle w:val="ListParagraph"/>
        <w:numPr>
          <w:ilvl w:val="0"/>
          <w:numId w:val="19"/>
        </w:numPr>
        <w:jc w:val="both"/>
        <w:rPr>
          <w:rFonts w:cstheme="minorHAnsi"/>
        </w:rPr>
      </w:pPr>
      <w:r>
        <w:rPr>
          <w:rFonts w:cstheme="minorHAnsi"/>
        </w:rPr>
        <w:t>There is no evidence of support from significant National bodies</w:t>
      </w:r>
    </w:p>
    <w:p w14:paraId="0965D516" w14:textId="77777777" w:rsidR="009C649E" w:rsidRDefault="00806DF1" w:rsidP="00F34F5D">
      <w:pPr>
        <w:pStyle w:val="ListParagraph"/>
        <w:numPr>
          <w:ilvl w:val="0"/>
          <w:numId w:val="19"/>
        </w:numPr>
        <w:jc w:val="both"/>
        <w:rPr>
          <w:rFonts w:cstheme="minorHAnsi"/>
        </w:rPr>
      </w:pPr>
      <w:r w:rsidRPr="00B41B19">
        <w:rPr>
          <w:rFonts w:cstheme="minorHAnsi"/>
        </w:rPr>
        <w:t>The proposal w</w:t>
      </w:r>
      <w:r w:rsidR="009C649E">
        <w:rPr>
          <w:rFonts w:cstheme="minorHAnsi"/>
        </w:rPr>
        <w:t>ill</w:t>
      </w:r>
      <w:r w:rsidRPr="00B41B19">
        <w:rPr>
          <w:rFonts w:cstheme="minorHAnsi"/>
        </w:rPr>
        <w:t xml:space="preserve"> call for</w:t>
      </w:r>
      <w:r w:rsidR="00B41B19" w:rsidRPr="00B41B19">
        <w:rPr>
          <w:rFonts w:cstheme="minorHAnsi"/>
        </w:rPr>
        <w:t xml:space="preserve"> </w:t>
      </w:r>
      <w:r w:rsidRPr="00B41B19">
        <w:rPr>
          <w:rFonts w:cstheme="minorHAnsi"/>
        </w:rPr>
        <w:t xml:space="preserve">significant </w:t>
      </w:r>
      <w:r w:rsidR="007A3170" w:rsidRPr="00B41B19">
        <w:rPr>
          <w:rFonts w:cstheme="minorHAnsi"/>
        </w:rPr>
        <w:t>improvements to sewerage and water services</w:t>
      </w:r>
    </w:p>
    <w:p w14:paraId="3DE8F4DC" w14:textId="28959B38" w:rsidR="00806DF1" w:rsidRPr="00D07126" w:rsidRDefault="009C649E" w:rsidP="000564FF">
      <w:pPr>
        <w:pStyle w:val="ListParagraph"/>
        <w:numPr>
          <w:ilvl w:val="0"/>
          <w:numId w:val="19"/>
        </w:numPr>
        <w:jc w:val="both"/>
        <w:rPr>
          <w:rFonts w:cstheme="minorHAnsi"/>
        </w:rPr>
      </w:pPr>
      <w:r w:rsidRPr="00D07126">
        <w:rPr>
          <w:rFonts w:cstheme="minorHAnsi"/>
        </w:rPr>
        <w:t>T</w:t>
      </w:r>
      <w:r w:rsidR="005C34A6" w:rsidRPr="00D07126">
        <w:rPr>
          <w:rFonts w:cstheme="minorHAnsi"/>
        </w:rPr>
        <w:t>here is no evidence of who is going to fund these develop</w:t>
      </w:r>
      <w:r w:rsidRPr="00D07126">
        <w:rPr>
          <w:rFonts w:cstheme="minorHAnsi"/>
        </w:rPr>
        <w:t>m</w:t>
      </w:r>
      <w:r w:rsidR="005C34A6" w:rsidRPr="00D07126">
        <w:rPr>
          <w:rFonts w:cstheme="minorHAnsi"/>
        </w:rPr>
        <w:t>ents</w:t>
      </w:r>
      <w:r w:rsidR="00D07126">
        <w:rPr>
          <w:rFonts w:cstheme="minorHAnsi"/>
        </w:rPr>
        <w:t xml:space="preserve">. </w:t>
      </w:r>
      <w:r w:rsidR="00806DF1" w:rsidRPr="00D07126">
        <w:rPr>
          <w:rFonts w:cstheme="minorHAnsi"/>
        </w:rPr>
        <w:t xml:space="preserve">Neither the Highways Agency nor the </w:t>
      </w:r>
      <w:r w:rsidR="006D2690">
        <w:rPr>
          <w:rFonts w:cstheme="minorHAnsi"/>
        </w:rPr>
        <w:t xml:space="preserve">principal </w:t>
      </w:r>
      <w:r w:rsidR="00806DF1" w:rsidRPr="00D07126">
        <w:rPr>
          <w:rFonts w:cstheme="minorHAnsi"/>
        </w:rPr>
        <w:t>landowner, Trinity College, have indicated any willingness to contribute these costs</w:t>
      </w:r>
    </w:p>
    <w:p w14:paraId="126DE21C" w14:textId="77777777" w:rsidR="00D95885" w:rsidRDefault="00806DF1" w:rsidP="00D95885">
      <w:pPr>
        <w:pStyle w:val="ListParagraph"/>
        <w:numPr>
          <w:ilvl w:val="0"/>
          <w:numId w:val="19"/>
        </w:numPr>
        <w:jc w:val="both"/>
        <w:rPr>
          <w:rFonts w:cstheme="minorHAnsi"/>
        </w:rPr>
      </w:pPr>
      <w:r>
        <w:rPr>
          <w:rFonts w:cstheme="minorHAnsi"/>
        </w:rPr>
        <w:t xml:space="preserve">The A14 is currently over-capacity (SP10 of the previous Local Plan) </w:t>
      </w:r>
    </w:p>
    <w:p w14:paraId="69346A4A" w14:textId="35936F9D" w:rsidR="00806DF1" w:rsidRDefault="00D95885" w:rsidP="00D95885">
      <w:pPr>
        <w:pStyle w:val="ListParagraph"/>
        <w:numPr>
          <w:ilvl w:val="0"/>
          <w:numId w:val="19"/>
        </w:numPr>
        <w:jc w:val="both"/>
        <w:rPr>
          <w:rFonts w:cstheme="minorHAnsi"/>
        </w:rPr>
      </w:pPr>
      <w:r>
        <w:rPr>
          <w:rFonts w:cstheme="minorHAnsi"/>
        </w:rPr>
        <w:t xml:space="preserve">With no </w:t>
      </w:r>
      <w:r w:rsidR="00707C81">
        <w:rPr>
          <w:rFonts w:cstheme="minorHAnsi"/>
        </w:rPr>
        <w:t xml:space="preserve">new </w:t>
      </w:r>
      <w:r>
        <w:rPr>
          <w:rFonts w:cstheme="minorHAnsi"/>
        </w:rPr>
        <w:t>jobs</w:t>
      </w:r>
      <w:r w:rsidR="00707C81">
        <w:rPr>
          <w:rFonts w:cstheme="minorHAnsi"/>
        </w:rPr>
        <w:t xml:space="preserve"> coming from the vicinity of Felixstowe</w:t>
      </w:r>
      <w:r w:rsidR="00F72B95">
        <w:rPr>
          <w:rFonts w:cstheme="minorHAnsi"/>
        </w:rPr>
        <w:t>, there will be a significant increase</w:t>
      </w:r>
      <w:r w:rsidR="00257D91">
        <w:rPr>
          <w:rFonts w:cstheme="minorHAnsi"/>
        </w:rPr>
        <w:t xml:space="preserve"> in commuter traffic along the A14 towards Ipswich and back</w:t>
      </w:r>
    </w:p>
    <w:p w14:paraId="742DA8EF" w14:textId="5EFDE0C3" w:rsidR="00257D91" w:rsidRDefault="00257D91" w:rsidP="00D95885">
      <w:pPr>
        <w:pStyle w:val="ListParagraph"/>
        <w:numPr>
          <w:ilvl w:val="0"/>
          <w:numId w:val="19"/>
        </w:numPr>
        <w:jc w:val="both"/>
        <w:rPr>
          <w:rFonts w:cstheme="minorHAnsi"/>
        </w:rPr>
      </w:pPr>
      <w:r>
        <w:rPr>
          <w:rFonts w:cstheme="minorHAnsi"/>
        </w:rPr>
        <w:t xml:space="preserve">This will impact on the Orwell </w:t>
      </w:r>
      <w:r w:rsidR="006E680C">
        <w:rPr>
          <w:rFonts w:cstheme="minorHAnsi"/>
        </w:rPr>
        <w:t>Bridge, also</w:t>
      </w:r>
    </w:p>
    <w:p w14:paraId="1ADE8801" w14:textId="67B42FCC" w:rsidR="00806DF1" w:rsidRDefault="00806DF1" w:rsidP="00806DF1">
      <w:pPr>
        <w:pStyle w:val="ListParagraph"/>
        <w:numPr>
          <w:ilvl w:val="0"/>
          <w:numId w:val="19"/>
        </w:numPr>
        <w:jc w:val="both"/>
        <w:rPr>
          <w:rFonts w:cstheme="minorHAnsi"/>
        </w:rPr>
      </w:pPr>
      <w:r>
        <w:rPr>
          <w:rFonts w:cstheme="minorHAnsi"/>
        </w:rPr>
        <w:t>Ipswich town centre traffic already grinds to a halt when the Orwell Bridge is closed</w:t>
      </w:r>
      <w:r w:rsidR="006E680C">
        <w:rPr>
          <w:rFonts w:cstheme="minorHAnsi"/>
        </w:rPr>
        <w:t>, so the impact will be felt in central Ipswich also</w:t>
      </w:r>
    </w:p>
    <w:p w14:paraId="722B76EA" w14:textId="77777777" w:rsidR="00AC7B98" w:rsidRDefault="009064E5" w:rsidP="00AC7B98">
      <w:pPr>
        <w:pStyle w:val="ListParagraph"/>
        <w:numPr>
          <w:ilvl w:val="0"/>
          <w:numId w:val="19"/>
        </w:numPr>
        <w:jc w:val="both"/>
        <w:rPr>
          <w:rFonts w:cstheme="minorHAnsi"/>
        </w:rPr>
      </w:pPr>
      <w:r>
        <w:rPr>
          <w:rFonts w:cstheme="minorHAnsi"/>
        </w:rPr>
        <w:t>There has been no assessment</w:t>
      </w:r>
      <w:r w:rsidR="001A68F4">
        <w:rPr>
          <w:rFonts w:cstheme="minorHAnsi"/>
        </w:rPr>
        <w:t xml:space="preserve"> of the A14 / Howlett Way traffic implications</w:t>
      </w:r>
    </w:p>
    <w:p w14:paraId="2AC4F83E" w14:textId="77777777" w:rsidR="00AC7B98" w:rsidRDefault="00566E9F" w:rsidP="00AC7B98">
      <w:pPr>
        <w:pStyle w:val="ListParagraph"/>
        <w:numPr>
          <w:ilvl w:val="0"/>
          <w:numId w:val="19"/>
        </w:numPr>
        <w:jc w:val="both"/>
        <w:rPr>
          <w:rFonts w:cstheme="minorHAnsi"/>
        </w:rPr>
      </w:pPr>
      <w:r w:rsidRPr="00AC7B98">
        <w:rPr>
          <w:rFonts w:cstheme="minorHAnsi"/>
        </w:rPr>
        <w:t>No account has been taken of evidence provided to show Trimley High Road</w:t>
      </w:r>
      <w:r w:rsidR="005255C9" w:rsidRPr="00AC7B98">
        <w:rPr>
          <w:rFonts w:cstheme="minorHAnsi"/>
        </w:rPr>
        <w:t xml:space="preserve"> will become a bottle-neck</w:t>
      </w:r>
    </w:p>
    <w:p w14:paraId="3CA96717" w14:textId="77777777" w:rsidR="00B77F21" w:rsidRDefault="00AC7B98" w:rsidP="00B77F21">
      <w:pPr>
        <w:pStyle w:val="ListParagraph"/>
        <w:numPr>
          <w:ilvl w:val="0"/>
          <w:numId w:val="19"/>
        </w:numPr>
        <w:jc w:val="both"/>
        <w:rPr>
          <w:rFonts w:cstheme="minorHAnsi"/>
        </w:rPr>
      </w:pPr>
      <w:r w:rsidRPr="00AC7B98">
        <w:rPr>
          <w:rFonts w:cstheme="minorHAnsi"/>
        </w:rPr>
        <w:t>No account has been taken of the p</w:t>
      </w:r>
      <w:r w:rsidR="006E70AF" w:rsidRPr="00AC7B98">
        <w:rPr>
          <w:rFonts w:cstheme="minorHAnsi"/>
        </w:rPr>
        <w:t>roposed vehicular activity associated with Innocence Farm comprising 3200 daily movements plus 600 cars. The whole traffic situation will significantly worsen following closure of the Orwell Bridge or a serious accident on the A14</w:t>
      </w:r>
    </w:p>
    <w:p w14:paraId="1D5F657D" w14:textId="4C9CF680" w:rsidR="006E70AF" w:rsidRPr="00B77F21" w:rsidRDefault="00BA6635" w:rsidP="00B77F21">
      <w:pPr>
        <w:pStyle w:val="ListParagraph"/>
        <w:numPr>
          <w:ilvl w:val="0"/>
          <w:numId w:val="19"/>
        </w:numPr>
        <w:jc w:val="both"/>
        <w:rPr>
          <w:rFonts w:cstheme="minorHAnsi"/>
        </w:rPr>
      </w:pPr>
      <w:r w:rsidRPr="00B77F21">
        <w:rPr>
          <w:rFonts w:cstheme="minorHAnsi"/>
        </w:rPr>
        <w:t>An additional 2,900 vehicles from the</w:t>
      </w:r>
      <w:r w:rsidR="006E70AF" w:rsidRPr="00B77F21">
        <w:rPr>
          <w:rFonts w:cstheme="minorHAnsi"/>
        </w:rPr>
        <w:t xml:space="preserve"> Brightwell Lakes, Martlesham</w:t>
      </w:r>
      <w:r w:rsidRPr="00B77F21">
        <w:rPr>
          <w:rFonts w:cstheme="minorHAnsi"/>
        </w:rPr>
        <w:t xml:space="preserve"> development</w:t>
      </w:r>
      <w:r w:rsidR="006E70AF" w:rsidRPr="00B77F21">
        <w:rPr>
          <w:rFonts w:cstheme="minorHAnsi"/>
        </w:rPr>
        <w:t xml:space="preserve"> </w:t>
      </w:r>
      <w:r w:rsidRPr="00B77F21">
        <w:rPr>
          <w:rFonts w:cstheme="minorHAnsi"/>
        </w:rPr>
        <w:t>will ha</w:t>
      </w:r>
      <w:r w:rsidR="00B77F21" w:rsidRPr="00B77F21">
        <w:rPr>
          <w:rFonts w:cstheme="minorHAnsi"/>
        </w:rPr>
        <w:t>ve</w:t>
      </w:r>
      <w:r w:rsidR="006E70AF" w:rsidRPr="00B77F21">
        <w:rPr>
          <w:rFonts w:cstheme="minorHAnsi"/>
        </w:rPr>
        <w:t xml:space="preserve"> a knock-on effect upon the Trimley/Felixstowe catchment.</w:t>
      </w:r>
    </w:p>
    <w:p w14:paraId="625352E4" w14:textId="77777777" w:rsidR="00164AFC" w:rsidRDefault="00164AFC" w:rsidP="00164AFC">
      <w:pPr>
        <w:pStyle w:val="ListParagraph"/>
        <w:ind w:left="1134"/>
        <w:jc w:val="both"/>
        <w:rPr>
          <w:rFonts w:cstheme="minorHAnsi"/>
        </w:rPr>
      </w:pPr>
    </w:p>
    <w:p w14:paraId="319FE200" w14:textId="77777777" w:rsidR="00164AFC" w:rsidRPr="00F766FC" w:rsidRDefault="00164AFC" w:rsidP="00164AFC">
      <w:pPr>
        <w:pStyle w:val="ListParagraph"/>
        <w:numPr>
          <w:ilvl w:val="0"/>
          <w:numId w:val="3"/>
        </w:numPr>
        <w:ind w:left="709" w:hanging="709"/>
        <w:jc w:val="both"/>
        <w:rPr>
          <w:rFonts w:cstheme="minorHAnsi"/>
          <w:u w:val="single"/>
        </w:rPr>
      </w:pPr>
      <w:r w:rsidRPr="00F766FC">
        <w:rPr>
          <w:rFonts w:cstheme="minorHAnsi"/>
          <w:u w:val="single"/>
        </w:rPr>
        <w:t xml:space="preserve">It is NOT “Consistent </w:t>
      </w:r>
      <w:proofErr w:type="gramStart"/>
      <w:r w:rsidRPr="00F766FC">
        <w:rPr>
          <w:rFonts w:cstheme="minorHAnsi"/>
          <w:u w:val="single"/>
        </w:rPr>
        <w:t>With</w:t>
      </w:r>
      <w:proofErr w:type="gramEnd"/>
      <w:r w:rsidRPr="00F766FC">
        <w:rPr>
          <w:rFonts w:cstheme="minorHAnsi"/>
          <w:u w:val="single"/>
        </w:rPr>
        <w:t xml:space="preserve"> The NPPF 2018 Guidelines” because:</w:t>
      </w:r>
    </w:p>
    <w:p w14:paraId="5DADE66D" w14:textId="77777777" w:rsidR="00164AFC" w:rsidRDefault="00164AFC" w:rsidP="00164AFC">
      <w:pPr>
        <w:pStyle w:val="ListParagraph"/>
        <w:ind w:left="1134"/>
        <w:jc w:val="both"/>
        <w:rPr>
          <w:rFonts w:cstheme="minorHAnsi"/>
          <w:u w:val="single"/>
        </w:rPr>
      </w:pPr>
    </w:p>
    <w:p w14:paraId="736DC7EC" w14:textId="4DBC6B91" w:rsidR="00164AFC" w:rsidRPr="00FA2CF3" w:rsidRDefault="00164AFC" w:rsidP="00FA2CF3">
      <w:pPr>
        <w:contextualSpacing/>
        <w:jc w:val="both"/>
        <w:rPr>
          <w:rFonts w:cstheme="minorHAnsi"/>
        </w:rPr>
      </w:pPr>
      <w:r w:rsidRPr="00FA2CF3">
        <w:rPr>
          <w:rFonts w:cstheme="minorHAnsi"/>
        </w:rPr>
        <w:t>All the above points combine to confirm SCLP</w:t>
      </w:r>
      <w:r w:rsidR="00E80458" w:rsidRPr="00FA2CF3">
        <w:rPr>
          <w:rFonts w:cstheme="minorHAnsi"/>
        </w:rPr>
        <w:t xml:space="preserve">12.65 </w:t>
      </w:r>
      <w:r w:rsidR="00FA2CF3" w:rsidRPr="00FA2CF3">
        <w:rPr>
          <w:rFonts w:cstheme="minorHAnsi"/>
        </w:rPr>
        <w:t>and SCLP</w:t>
      </w:r>
      <w:r w:rsidR="00E80458" w:rsidRPr="00FA2CF3">
        <w:rPr>
          <w:rFonts w:cstheme="minorHAnsi"/>
        </w:rPr>
        <w:t xml:space="preserve">12.66 </w:t>
      </w:r>
      <w:r w:rsidR="00FA2CF3" w:rsidRPr="00FA2CF3">
        <w:rPr>
          <w:rFonts w:cstheme="minorHAnsi"/>
        </w:rPr>
        <w:t>are</w:t>
      </w:r>
      <w:r w:rsidRPr="00FA2CF3">
        <w:rPr>
          <w:rFonts w:cstheme="minorHAnsi"/>
        </w:rPr>
        <w:t xml:space="preserve"> undeliverable; additionally,</w:t>
      </w:r>
    </w:p>
    <w:p w14:paraId="559BB141" w14:textId="7EDC58FF" w:rsidR="00164AFC" w:rsidRDefault="00FA2CF3" w:rsidP="00164AFC">
      <w:pPr>
        <w:pStyle w:val="ListParagraph"/>
        <w:numPr>
          <w:ilvl w:val="0"/>
          <w:numId w:val="7"/>
        </w:numPr>
        <w:ind w:left="1134" w:hanging="425"/>
        <w:jc w:val="both"/>
        <w:rPr>
          <w:rFonts w:cstheme="minorHAnsi"/>
        </w:rPr>
      </w:pPr>
      <w:r>
        <w:rPr>
          <w:rFonts w:cstheme="minorHAnsi"/>
        </w:rPr>
        <w:t>They</w:t>
      </w:r>
      <w:r w:rsidR="00164AFC">
        <w:rPr>
          <w:rFonts w:cstheme="minorHAnsi"/>
        </w:rPr>
        <w:t xml:space="preserve"> conflict with NPPF paragraph 118</w:t>
      </w:r>
    </w:p>
    <w:p w14:paraId="50EBE2A7" w14:textId="06ADC0E4" w:rsidR="00164AFC" w:rsidRDefault="00164AFC" w:rsidP="00164AFC">
      <w:pPr>
        <w:pStyle w:val="ListParagraph"/>
        <w:numPr>
          <w:ilvl w:val="0"/>
          <w:numId w:val="7"/>
        </w:numPr>
        <w:ind w:left="1134" w:hanging="425"/>
        <w:jc w:val="both"/>
        <w:rPr>
          <w:rFonts w:cstheme="minorHAnsi"/>
        </w:rPr>
      </w:pPr>
      <w:r>
        <w:rPr>
          <w:rFonts w:cstheme="minorHAnsi"/>
        </w:rPr>
        <w:t>The Interim Sustainability Appraisal and Final Plan both ignore light, noise and particulate pollution</w:t>
      </w:r>
    </w:p>
    <w:p w14:paraId="04630AEC" w14:textId="0AAE07AC" w:rsidR="00164AFC" w:rsidRDefault="00164AFC" w:rsidP="00164AFC">
      <w:pPr>
        <w:pStyle w:val="ListParagraph"/>
        <w:numPr>
          <w:ilvl w:val="0"/>
          <w:numId w:val="7"/>
        </w:numPr>
        <w:ind w:left="1134" w:hanging="425"/>
        <w:jc w:val="both"/>
        <w:rPr>
          <w:rFonts w:cstheme="minorHAnsi"/>
        </w:rPr>
      </w:pPr>
      <w:r>
        <w:rPr>
          <w:rFonts w:cstheme="minorHAnsi"/>
        </w:rPr>
        <w:t xml:space="preserve">There is no acknowledgement that </w:t>
      </w:r>
      <w:r w:rsidR="00776BA0">
        <w:rPr>
          <w:rFonts w:cstheme="minorHAnsi"/>
        </w:rPr>
        <w:t>many</w:t>
      </w:r>
      <w:r>
        <w:rPr>
          <w:rFonts w:cstheme="minorHAnsi"/>
        </w:rPr>
        <w:t xml:space="preserve"> acres of prime agricultural land </w:t>
      </w:r>
      <w:r w:rsidR="00776BA0">
        <w:rPr>
          <w:rFonts w:cstheme="minorHAnsi"/>
        </w:rPr>
        <w:t>are</w:t>
      </w:r>
      <w:r>
        <w:rPr>
          <w:rFonts w:cstheme="minorHAnsi"/>
        </w:rPr>
        <w:t xml:space="preserve"> to be sacrificed</w:t>
      </w:r>
    </w:p>
    <w:p w14:paraId="66A6A293" w14:textId="77777777" w:rsidR="00164AFC" w:rsidRDefault="00164AFC" w:rsidP="00164AFC">
      <w:pPr>
        <w:pStyle w:val="ListParagraph"/>
        <w:numPr>
          <w:ilvl w:val="0"/>
          <w:numId w:val="7"/>
        </w:numPr>
        <w:ind w:left="1134" w:hanging="425"/>
        <w:jc w:val="both"/>
        <w:rPr>
          <w:rFonts w:cstheme="minorHAnsi"/>
        </w:rPr>
      </w:pPr>
      <w:r>
        <w:rPr>
          <w:rFonts w:cstheme="minorHAnsi"/>
        </w:rPr>
        <w:t>There is no mention of a survey of the habitats likely to be lost nor the damage the environment is likely to sustain</w:t>
      </w:r>
    </w:p>
    <w:p w14:paraId="21B7CD00" w14:textId="55CBAE74" w:rsidR="00164AFC" w:rsidRDefault="00164AFC" w:rsidP="00164AFC">
      <w:pPr>
        <w:pStyle w:val="ListParagraph"/>
        <w:numPr>
          <w:ilvl w:val="0"/>
          <w:numId w:val="7"/>
        </w:numPr>
        <w:ind w:left="1134" w:hanging="425"/>
        <w:jc w:val="both"/>
        <w:rPr>
          <w:rFonts w:cstheme="minorHAnsi"/>
        </w:rPr>
      </w:pPr>
      <w:r>
        <w:rPr>
          <w:rFonts w:cstheme="minorHAnsi"/>
        </w:rPr>
        <w:t>The Interim Sustainability Appraisal indicates a ‘neutral’ rating for “improving health”.  This cannot be true</w:t>
      </w:r>
      <w:r w:rsidR="008224B7">
        <w:rPr>
          <w:rFonts w:cstheme="minorHAnsi"/>
        </w:rPr>
        <w:t>.  The Trimley Villages and adjacent parishes will suffer</w:t>
      </w:r>
      <w:r w:rsidR="004B7150">
        <w:rPr>
          <w:rFonts w:cstheme="minorHAnsi"/>
        </w:rPr>
        <w:t xml:space="preserve"> considerably as a result in an increase of the various pollutants</w:t>
      </w:r>
    </w:p>
    <w:p w14:paraId="23404C8C" w14:textId="3360AA52" w:rsidR="00164AFC" w:rsidRDefault="00164AFC" w:rsidP="00164AFC">
      <w:pPr>
        <w:pStyle w:val="ListParagraph"/>
        <w:numPr>
          <w:ilvl w:val="0"/>
          <w:numId w:val="7"/>
        </w:numPr>
        <w:ind w:left="1134" w:hanging="425"/>
        <w:jc w:val="both"/>
        <w:rPr>
          <w:rFonts w:cstheme="minorHAnsi"/>
        </w:rPr>
      </w:pPr>
      <w:r>
        <w:rPr>
          <w:rFonts w:cstheme="minorHAnsi"/>
        </w:rPr>
        <w:lastRenderedPageBreak/>
        <w:t xml:space="preserve">No mention has been made of the </w:t>
      </w:r>
      <w:r w:rsidR="004B7150">
        <w:rPr>
          <w:rFonts w:cstheme="minorHAnsi"/>
        </w:rPr>
        <w:t>pollution impact on the site of the proposed new school</w:t>
      </w:r>
      <w:r>
        <w:rPr>
          <w:rFonts w:cstheme="minorHAnsi"/>
        </w:rPr>
        <w:t xml:space="preserve"> </w:t>
      </w:r>
    </w:p>
    <w:p w14:paraId="52CC93DE" w14:textId="56944E38" w:rsidR="00164AFC" w:rsidRDefault="00164AFC" w:rsidP="00BD49EE">
      <w:pPr>
        <w:pStyle w:val="ListParagraph"/>
        <w:numPr>
          <w:ilvl w:val="0"/>
          <w:numId w:val="7"/>
        </w:numPr>
        <w:ind w:left="1134" w:hanging="425"/>
        <w:jc w:val="both"/>
        <w:rPr>
          <w:rFonts w:cstheme="minorHAnsi"/>
        </w:rPr>
      </w:pPr>
      <w:r>
        <w:rPr>
          <w:rFonts w:cstheme="minorHAnsi"/>
        </w:rPr>
        <w:t xml:space="preserve">SCDC </w:t>
      </w:r>
      <w:r w:rsidR="00EB148C">
        <w:rPr>
          <w:rFonts w:cstheme="minorHAnsi"/>
        </w:rPr>
        <w:t xml:space="preserve">appears to have taken no account </w:t>
      </w:r>
      <w:r>
        <w:rPr>
          <w:rFonts w:cstheme="minorHAnsi"/>
        </w:rPr>
        <w:t>of widespread research showing schoolchildren are particularly prone to the effects of pollution</w:t>
      </w:r>
      <w:r w:rsidR="00BD49EE">
        <w:rPr>
          <w:rFonts w:cstheme="minorHAnsi"/>
        </w:rPr>
        <w:t>.</w:t>
      </w:r>
    </w:p>
    <w:p w14:paraId="0D5180D8" w14:textId="0D8FF2A7" w:rsidR="00164AFC" w:rsidRDefault="00BD49EE" w:rsidP="00164AFC">
      <w:pPr>
        <w:pStyle w:val="ListParagraph"/>
        <w:numPr>
          <w:ilvl w:val="0"/>
          <w:numId w:val="7"/>
        </w:numPr>
        <w:ind w:left="1134" w:hanging="425"/>
        <w:jc w:val="both"/>
        <w:rPr>
          <w:rFonts w:cstheme="minorHAnsi"/>
        </w:rPr>
      </w:pPr>
      <w:r>
        <w:rPr>
          <w:rFonts w:cstheme="minorHAnsi"/>
        </w:rPr>
        <w:t>Because of the likely extent of the pollution increase, i</w:t>
      </w:r>
      <w:r w:rsidR="00164AFC">
        <w:rPr>
          <w:rFonts w:cstheme="minorHAnsi"/>
        </w:rPr>
        <w:t>t will not be possible to mitigate the pollution</w:t>
      </w:r>
      <w:r>
        <w:rPr>
          <w:rFonts w:cstheme="minorHAnsi"/>
        </w:rPr>
        <w:t xml:space="preserve"> effect</w:t>
      </w:r>
      <w:r w:rsidR="00164AFC">
        <w:rPr>
          <w:rFonts w:cstheme="minorHAnsi"/>
        </w:rPr>
        <w:t>, whatever its extent or cause.</w:t>
      </w:r>
    </w:p>
    <w:p w14:paraId="0AC8A61B" w14:textId="27EBDBCE" w:rsidR="00164AFC" w:rsidRDefault="00164AFC" w:rsidP="00164AFC">
      <w:pPr>
        <w:pStyle w:val="ListParagraph"/>
        <w:numPr>
          <w:ilvl w:val="0"/>
          <w:numId w:val="7"/>
        </w:numPr>
        <w:ind w:left="1134" w:hanging="425"/>
        <w:jc w:val="both"/>
        <w:rPr>
          <w:rFonts w:cstheme="minorHAnsi"/>
        </w:rPr>
      </w:pPr>
      <w:r>
        <w:rPr>
          <w:rFonts w:cstheme="minorHAnsi"/>
        </w:rPr>
        <w:t>To permit development</w:t>
      </w:r>
      <w:r w:rsidR="00BD49EE">
        <w:rPr>
          <w:rFonts w:cstheme="minorHAnsi"/>
        </w:rPr>
        <w:t>s</w:t>
      </w:r>
      <w:r>
        <w:rPr>
          <w:rFonts w:cstheme="minorHAnsi"/>
        </w:rPr>
        <w:t xml:space="preserve"> certain to raise levels of sulphur dioxide, nitrogen dioxide, benzene, carbon monoxide, lead and PM</w:t>
      </w:r>
      <w:r w:rsidRPr="003B5D62">
        <w:rPr>
          <w:rFonts w:cstheme="minorHAnsi"/>
          <w:sz w:val="16"/>
          <w:szCs w:val="16"/>
        </w:rPr>
        <w:t>10</w:t>
      </w:r>
      <w:r>
        <w:rPr>
          <w:rFonts w:cstheme="minorHAnsi"/>
        </w:rPr>
        <w:t xml:space="preserve"> in ambient air </w:t>
      </w:r>
      <w:r w:rsidR="00BD49EE">
        <w:rPr>
          <w:rFonts w:cstheme="minorHAnsi"/>
        </w:rPr>
        <w:t xml:space="preserve">close to large numbers of households </w:t>
      </w:r>
      <w:r>
        <w:rPr>
          <w:rFonts w:cstheme="minorHAnsi"/>
        </w:rPr>
        <w:t>would be grossly irresponsible</w:t>
      </w:r>
    </w:p>
    <w:p w14:paraId="4E98FFCC" w14:textId="77777777" w:rsidR="00164AFC" w:rsidRDefault="00164AFC" w:rsidP="00164AFC">
      <w:pPr>
        <w:pStyle w:val="ListParagraph"/>
        <w:numPr>
          <w:ilvl w:val="0"/>
          <w:numId w:val="7"/>
        </w:numPr>
        <w:ind w:left="1134" w:hanging="425"/>
        <w:jc w:val="both"/>
        <w:rPr>
          <w:rFonts w:cstheme="minorHAnsi"/>
        </w:rPr>
      </w:pPr>
      <w:r>
        <w:rPr>
          <w:rFonts w:cstheme="minorHAnsi"/>
        </w:rPr>
        <w:t>The risk to health, particularly that of the elderly and schoolchildren would be unacceptably high</w:t>
      </w:r>
    </w:p>
    <w:p w14:paraId="5E9A1278" w14:textId="351417F2" w:rsidR="00164AFC" w:rsidRDefault="00164AFC" w:rsidP="00164AFC">
      <w:pPr>
        <w:pStyle w:val="ListParagraph"/>
        <w:numPr>
          <w:ilvl w:val="0"/>
          <w:numId w:val="7"/>
        </w:numPr>
        <w:ind w:left="1134" w:hanging="425"/>
        <w:jc w:val="both"/>
        <w:rPr>
          <w:rFonts w:cstheme="minorHAnsi"/>
        </w:rPr>
      </w:pPr>
      <w:r>
        <w:rPr>
          <w:rFonts w:cstheme="minorHAnsi"/>
        </w:rPr>
        <w:t>The proposal would increase significantly the merging of Ipswich and Felixstowe by way of a ribbon development along the A14 corridor.</w:t>
      </w:r>
    </w:p>
    <w:p w14:paraId="5EE773E2" w14:textId="1E299F00" w:rsidR="00100B7C" w:rsidRDefault="00100B7C" w:rsidP="00164AFC">
      <w:pPr>
        <w:pStyle w:val="ListParagraph"/>
        <w:numPr>
          <w:ilvl w:val="0"/>
          <w:numId w:val="7"/>
        </w:numPr>
        <w:ind w:left="1134" w:hanging="425"/>
        <w:jc w:val="both"/>
        <w:rPr>
          <w:rFonts w:cstheme="minorHAnsi"/>
        </w:rPr>
      </w:pPr>
      <w:r>
        <w:rPr>
          <w:rFonts w:cstheme="minorHAnsi"/>
        </w:rPr>
        <w:t>The proposals breach</w:t>
      </w:r>
      <w:r w:rsidR="007367B6">
        <w:rPr>
          <w:rFonts w:cstheme="minorHAnsi"/>
        </w:rPr>
        <w:t>, in no small way,</w:t>
      </w:r>
      <w:r>
        <w:rPr>
          <w:rFonts w:cstheme="minorHAnsi"/>
        </w:rPr>
        <w:t xml:space="preserve"> the Government’s stated intention of maintain</w:t>
      </w:r>
      <w:r w:rsidR="007367B6">
        <w:rPr>
          <w:rFonts w:cstheme="minorHAnsi"/>
        </w:rPr>
        <w:t>ing</w:t>
      </w:r>
      <w:r>
        <w:rPr>
          <w:rFonts w:cstheme="minorHAnsi"/>
        </w:rPr>
        <w:t xml:space="preserve"> a </w:t>
      </w:r>
      <w:r w:rsidR="007367B6">
        <w:rPr>
          <w:rFonts w:cstheme="minorHAnsi"/>
        </w:rPr>
        <w:t>clear separation between towns and villages</w:t>
      </w:r>
    </w:p>
    <w:p w14:paraId="57C36BDF" w14:textId="3D9D7175" w:rsidR="00164AFC" w:rsidRDefault="00164AFC" w:rsidP="00164AFC">
      <w:pPr>
        <w:pStyle w:val="ListParagraph"/>
        <w:numPr>
          <w:ilvl w:val="0"/>
          <w:numId w:val="7"/>
        </w:numPr>
        <w:ind w:left="1134" w:hanging="425"/>
        <w:jc w:val="both"/>
        <w:rPr>
          <w:rFonts w:cstheme="minorHAnsi"/>
        </w:rPr>
      </w:pPr>
      <w:r>
        <w:rPr>
          <w:rFonts w:cstheme="minorHAnsi"/>
        </w:rPr>
        <w:t xml:space="preserve">To date, it has been a well-publicised strategic objective of SCDC to maintain a geographical separation </w:t>
      </w:r>
      <w:r w:rsidR="00090CA6">
        <w:rPr>
          <w:rFonts w:cstheme="minorHAnsi"/>
        </w:rPr>
        <w:t>between</w:t>
      </w:r>
      <w:r>
        <w:rPr>
          <w:rFonts w:cstheme="minorHAnsi"/>
        </w:rPr>
        <w:t xml:space="preserve"> towns</w:t>
      </w:r>
      <w:r w:rsidR="00090CA6">
        <w:rPr>
          <w:rFonts w:cstheme="minorHAnsi"/>
        </w:rPr>
        <w:t xml:space="preserve"> and villages</w:t>
      </w:r>
      <w:r>
        <w:rPr>
          <w:rFonts w:cstheme="minorHAnsi"/>
        </w:rPr>
        <w:t>.</w:t>
      </w:r>
    </w:p>
    <w:p w14:paraId="5C1672F0" w14:textId="63D04741" w:rsidR="00090CA6" w:rsidRDefault="00090CA6" w:rsidP="00164AFC">
      <w:pPr>
        <w:pStyle w:val="ListParagraph"/>
        <w:numPr>
          <w:ilvl w:val="0"/>
          <w:numId w:val="7"/>
        </w:numPr>
        <w:ind w:left="1134" w:hanging="425"/>
        <w:jc w:val="both"/>
        <w:rPr>
          <w:rFonts w:cstheme="minorHAnsi"/>
        </w:rPr>
      </w:pPr>
      <w:r>
        <w:rPr>
          <w:rFonts w:cstheme="minorHAnsi"/>
        </w:rPr>
        <w:t>This policy would appear to have been abandoned</w:t>
      </w:r>
    </w:p>
    <w:p w14:paraId="0B99852E" w14:textId="4751D7E7" w:rsidR="006E3F77" w:rsidRDefault="00164AFC" w:rsidP="00164AFC">
      <w:pPr>
        <w:rPr>
          <w:rFonts w:cstheme="minorHAnsi"/>
        </w:rPr>
      </w:pPr>
      <w:r>
        <w:rPr>
          <w:rFonts w:cstheme="minorHAnsi"/>
        </w:rPr>
        <w:t xml:space="preserve">In view of all the above, we would ask the Inspector to conclude </w:t>
      </w:r>
      <w:r w:rsidR="002535FE" w:rsidRPr="00FA2CF3">
        <w:rPr>
          <w:rFonts w:cstheme="minorHAnsi"/>
        </w:rPr>
        <w:t>SCLP12.65 and SCLP12.66</w:t>
      </w:r>
      <w:r>
        <w:rPr>
          <w:rFonts w:cstheme="minorHAnsi"/>
        </w:rPr>
        <w:t xml:space="preserve">, as proposed within the Local Plan, </w:t>
      </w:r>
      <w:r w:rsidR="002535FE">
        <w:rPr>
          <w:rFonts w:cstheme="minorHAnsi"/>
        </w:rPr>
        <w:t>are both</w:t>
      </w:r>
      <w:r>
        <w:rPr>
          <w:rFonts w:cstheme="minorHAnsi"/>
        </w:rPr>
        <w:t xml:space="preserve"> unlawful and fails all four of the tests for soundness.</w:t>
      </w:r>
    </w:p>
    <w:p w14:paraId="29D4A2DE" w14:textId="5D78F258" w:rsidR="002535FE" w:rsidRDefault="002535FE" w:rsidP="00164AFC">
      <w:pPr>
        <w:rPr>
          <w:rFonts w:cstheme="minorHAnsi"/>
        </w:rPr>
      </w:pPr>
    </w:p>
    <w:p w14:paraId="03F5EFB1" w14:textId="6C09F429" w:rsidR="002535FE" w:rsidRDefault="002535FE" w:rsidP="00164AFC">
      <w:pPr>
        <w:rPr>
          <w:rFonts w:cstheme="minorHAnsi"/>
        </w:rPr>
      </w:pPr>
      <w:r>
        <w:rPr>
          <w:rFonts w:cstheme="minorHAnsi"/>
        </w:rPr>
        <w:t>Kind regards,</w:t>
      </w:r>
    </w:p>
    <w:p w14:paraId="54E8C247" w14:textId="00720187" w:rsidR="002535FE" w:rsidRDefault="002535FE" w:rsidP="00164AFC">
      <w:pPr>
        <w:rPr>
          <w:rFonts w:cstheme="minorHAnsi"/>
        </w:rPr>
      </w:pPr>
    </w:p>
    <w:p w14:paraId="30B14274" w14:textId="1B4F2EA4" w:rsidR="002535FE" w:rsidRDefault="002535FE" w:rsidP="00164AFC">
      <w:pPr>
        <w:rPr>
          <w:rFonts w:cstheme="minorHAnsi"/>
        </w:rPr>
      </w:pPr>
    </w:p>
    <w:p w14:paraId="47BD0808" w14:textId="34A54DDA" w:rsidR="002535FE" w:rsidRPr="001F2F75" w:rsidRDefault="002535FE" w:rsidP="00164AFC">
      <w:pPr>
        <w:rPr>
          <w:rFonts w:cstheme="minorHAnsi"/>
        </w:rPr>
      </w:pPr>
      <w:r>
        <w:rPr>
          <w:rFonts w:cstheme="minorHAnsi"/>
        </w:rPr>
        <w:t>Stephen and Susie Wrinch</w:t>
      </w:r>
    </w:p>
    <w:sectPr w:rsidR="002535FE" w:rsidRPr="001F2F75" w:rsidSect="0050018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A0C"/>
    <w:multiLevelType w:val="hybridMultilevel"/>
    <w:tmpl w:val="13A86B6E"/>
    <w:lvl w:ilvl="0" w:tplc="435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C2453"/>
    <w:multiLevelType w:val="hybridMultilevel"/>
    <w:tmpl w:val="02F83F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0D0648"/>
    <w:multiLevelType w:val="hybridMultilevel"/>
    <w:tmpl w:val="5978EA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286130"/>
    <w:multiLevelType w:val="hybridMultilevel"/>
    <w:tmpl w:val="84F4F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1C5F"/>
    <w:multiLevelType w:val="hybridMultilevel"/>
    <w:tmpl w:val="328EF72E"/>
    <w:lvl w:ilvl="0" w:tplc="BAF4D42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45C31"/>
    <w:multiLevelType w:val="hybridMultilevel"/>
    <w:tmpl w:val="B0703776"/>
    <w:lvl w:ilvl="0" w:tplc="00401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F5FD2"/>
    <w:multiLevelType w:val="hybridMultilevel"/>
    <w:tmpl w:val="55CAB94A"/>
    <w:lvl w:ilvl="0" w:tplc="499EBED4">
      <w:start w:val="3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51E4A"/>
    <w:multiLevelType w:val="hybridMultilevel"/>
    <w:tmpl w:val="717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7C9A"/>
    <w:multiLevelType w:val="hybridMultilevel"/>
    <w:tmpl w:val="56CE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36FEA"/>
    <w:multiLevelType w:val="hybridMultilevel"/>
    <w:tmpl w:val="73F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7ADD"/>
    <w:multiLevelType w:val="hybridMultilevel"/>
    <w:tmpl w:val="65365512"/>
    <w:lvl w:ilvl="0" w:tplc="FD961D4E">
      <w:start w:val="3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7755C"/>
    <w:multiLevelType w:val="hybridMultilevel"/>
    <w:tmpl w:val="156C0EB6"/>
    <w:lvl w:ilvl="0" w:tplc="3410D54A">
      <w:start w:val="1"/>
      <w:numFmt w:val="lowerRoman"/>
      <w:lvlText w:val="(%1)"/>
      <w:lvlJc w:val="left"/>
      <w:pPr>
        <w:ind w:left="1437" w:hanging="8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4E554B2B"/>
    <w:multiLevelType w:val="hybridMultilevel"/>
    <w:tmpl w:val="000C0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6EB"/>
    <w:multiLevelType w:val="hybridMultilevel"/>
    <w:tmpl w:val="88DA85BE"/>
    <w:lvl w:ilvl="0" w:tplc="09CC1CC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96134"/>
    <w:multiLevelType w:val="hybridMultilevel"/>
    <w:tmpl w:val="B5D0A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B19E4"/>
    <w:multiLevelType w:val="hybridMultilevel"/>
    <w:tmpl w:val="ECFE63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A30496"/>
    <w:multiLevelType w:val="hybridMultilevel"/>
    <w:tmpl w:val="3D52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9195F"/>
    <w:multiLevelType w:val="hybridMultilevel"/>
    <w:tmpl w:val="ED7AEFAE"/>
    <w:lvl w:ilvl="0" w:tplc="3CA6321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4"/>
  </w:num>
  <w:num w:numId="5">
    <w:abstractNumId w:val="17"/>
  </w:num>
  <w:num w:numId="6">
    <w:abstractNumId w:val="9"/>
  </w:num>
  <w:num w:numId="7">
    <w:abstractNumId w:val="16"/>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5"/>
  </w:num>
  <w:num w:numId="13">
    <w:abstractNumId w:val="0"/>
  </w:num>
  <w:num w:numId="14">
    <w:abstractNumId w:val="6"/>
  </w:num>
  <w:num w:numId="15">
    <w:abstractNumId w:val="10"/>
  </w:num>
  <w:num w:numId="16">
    <w:abstractNumId w:val="12"/>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2B"/>
    <w:rsid w:val="0000059D"/>
    <w:rsid w:val="00001184"/>
    <w:rsid w:val="000069D2"/>
    <w:rsid w:val="00017458"/>
    <w:rsid w:val="00021B98"/>
    <w:rsid w:val="0002475C"/>
    <w:rsid w:val="0003010C"/>
    <w:rsid w:val="00030146"/>
    <w:rsid w:val="0003174E"/>
    <w:rsid w:val="00033F99"/>
    <w:rsid w:val="00040870"/>
    <w:rsid w:val="000446C6"/>
    <w:rsid w:val="00045011"/>
    <w:rsid w:val="000533E6"/>
    <w:rsid w:val="00056063"/>
    <w:rsid w:val="000641B9"/>
    <w:rsid w:val="000674B4"/>
    <w:rsid w:val="0007312B"/>
    <w:rsid w:val="000836C0"/>
    <w:rsid w:val="0008784C"/>
    <w:rsid w:val="00090CA6"/>
    <w:rsid w:val="00091D2E"/>
    <w:rsid w:val="00096CCD"/>
    <w:rsid w:val="000A49B0"/>
    <w:rsid w:val="000B4185"/>
    <w:rsid w:val="000C38E5"/>
    <w:rsid w:val="000D338C"/>
    <w:rsid w:val="000D730A"/>
    <w:rsid w:val="000D7EA7"/>
    <w:rsid w:val="000E49DF"/>
    <w:rsid w:val="000F08B9"/>
    <w:rsid w:val="000F0E5C"/>
    <w:rsid w:val="000F70FB"/>
    <w:rsid w:val="00100B7C"/>
    <w:rsid w:val="00103D2D"/>
    <w:rsid w:val="001045C5"/>
    <w:rsid w:val="00110730"/>
    <w:rsid w:val="001154D2"/>
    <w:rsid w:val="00115A8E"/>
    <w:rsid w:val="00117DA4"/>
    <w:rsid w:val="00125508"/>
    <w:rsid w:val="001367A0"/>
    <w:rsid w:val="00137843"/>
    <w:rsid w:val="00143B2E"/>
    <w:rsid w:val="0014419B"/>
    <w:rsid w:val="0016036F"/>
    <w:rsid w:val="001616D6"/>
    <w:rsid w:val="00164AFC"/>
    <w:rsid w:val="00165EB9"/>
    <w:rsid w:val="00171ED0"/>
    <w:rsid w:val="00173F08"/>
    <w:rsid w:val="00177A6B"/>
    <w:rsid w:val="00177FA2"/>
    <w:rsid w:val="00196B78"/>
    <w:rsid w:val="001A68F4"/>
    <w:rsid w:val="001B1F7A"/>
    <w:rsid w:val="001B28A0"/>
    <w:rsid w:val="001B2C9D"/>
    <w:rsid w:val="001C55BE"/>
    <w:rsid w:val="001D34D5"/>
    <w:rsid w:val="001D5A1B"/>
    <w:rsid w:val="001E773E"/>
    <w:rsid w:val="001F1C08"/>
    <w:rsid w:val="001F2F75"/>
    <w:rsid w:val="00202052"/>
    <w:rsid w:val="00205D31"/>
    <w:rsid w:val="00206C25"/>
    <w:rsid w:val="00206EE5"/>
    <w:rsid w:val="00216A6D"/>
    <w:rsid w:val="00220E09"/>
    <w:rsid w:val="00223195"/>
    <w:rsid w:val="00230C24"/>
    <w:rsid w:val="00232087"/>
    <w:rsid w:val="002321F4"/>
    <w:rsid w:val="00236638"/>
    <w:rsid w:val="0023705E"/>
    <w:rsid w:val="00246B87"/>
    <w:rsid w:val="00251A7A"/>
    <w:rsid w:val="002535FE"/>
    <w:rsid w:val="00253EDC"/>
    <w:rsid w:val="00257D91"/>
    <w:rsid w:val="00263528"/>
    <w:rsid w:val="002714CA"/>
    <w:rsid w:val="00271910"/>
    <w:rsid w:val="00280DC6"/>
    <w:rsid w:val="002813A9"/>
    <w:rsid w:val="00284434"/>
    <w:rsid w:val="002848A8"/>
    <w:rsid w:val="002948FD"/>
    <w:rsid w:val="002957CB"/>
    <w:rsid w:val="00295CF0"/>
    <w:rsid w:val="002A18BF"/>
    <w:rsid w:val="002A7A2C"/>
    <w:rsid w:val="002B66FB"/>
    <w:rsid w:val="002C2D79"/>
    <w:rsid w:val="002C3416"/>
    <w:rsid w:val="002C3B01"/>
    <w:rsid w:val="002C6136"/>
    <w:rsid w:val="002C7DB8"/>
    <w:rsid w:val="002D15C8"/>
    <w:rsid w:val="002E4D30"/>
    <w:rsid w:val="002E6B69"/>
    <w:rsid w:val="002F15B4"/>
    <w:rsid w:val="0031336B"/>
    <w:rsid w:val="00314C75"/>
    <w:rsid w:val="00316E92"/>
    <w:rsid w:val="00332B9B"/>
    <w:rsid w:val="00335E95"/>
    <w:rsid w:val="00336D13"/>
    <w:rsid w:val="00336E2C"/>
    <w:rsid w:val="0034070D"/>
    <w:rsid w:val="003437F5"/>
    <w:rsid w:val="0034416D"/>
    <w:rsid w:val="00353079"/>
    <w:rsid w:val="00364414"/>
    <w:rsid w:val="0036763F"/>
    <w:rsid w:val="00367697"/>
    <w:rsid w:val="003750D3"/>
    <w:rsid w:val="003804B2"/>
    <w:rsid w:val="0038237F"/>
    <w:rsid w:val="00382C52"/>
    <w:rsid w:val="003841E1"/>
    <w:rsid w:val="0039177E"/>
    <w:rsid w:val="003924DD"/>
    <w:rsid w:val="00395679"/>
    <w:rsid w:val="003A613C"/>
    <w:rsid w:val="003A6B78"/>
    <w:rsid w:val="003B5D62"/>
    <w:rsid w:val="003C0DD0"/>
    <w:rsid w:val="003C7547"/>
    <w:rsid w:val="003C790E"/>
    <w:rsid w:val="003D1297"/>
    <w:rsid w:val="003D678F"/>
    <w:rsid w:val="0040074D"/>
    <w:rsid w:val="004027C6"/>
    <w:rsid w:val="00405A07"/>
    <w:rsid w:val="004106A1"/>
    <w:rsid w:val="00417E6B"/>
    <w:rsid w:val="00420EB8"/>
    <w:rsid w:val="004269E2"/>
    <w:rsid w:val="00431920"/>
    <w:rsid w:val="00432D91"/>
    <w:rsid w:val="004338F4"/>
    <w:rsid w:val="00434CD3"/>
    <w:rsid w:val="00437272"/>
    <w:rsid w:val="00440251"/>
    <w:rsid w:val="004546E8"/>
    <w:rsid w:val="00466C09"/>
    <w:rsid w:val="00466EFE"/>
    <w:rsid w:val="00467299"/>
    <w:rsid w:val="00471C30"/>
    <w:rsid w:val="0047226A"/>
    <w:rsid w:val="00475936"/>
    <w:rsid w:val="00476F18"/>
    <w:rsid w:val="0049006D"/>
    <w:rsid w:val="004A67ED"/>
    <w:rsid w:val="004B5438"/>
    <w:rsid w:val="004B7150"/>
    <w:rsid w:val="004B7DDD"/>
    <w:rsid w:val="004C7F7E"/>
    <w:rsid w:val="004D0612"/>
    <w:rsid w:val="004D088F"/>
    <w:rsid w:val="004D51A1"/>
    <w:rsid w:val="004D6433"/>
    <w:rsid w:val="004D7907"/>
    <w:rsid w:val="004E041A"/>
    <w:rsid w:val="004F35B0"/>
    <w:rsid w:val="004F3B88"/>
    <w:rsid w:val="004F5E56"/>
    <w:rsid w:val="004F7E36"/>
    <w:rsid w:val="00500184"/>
    <w:rsid w:val="005028BA"/>
    <w:rsid w:val="00507FA5"/>
    <w:rsid w:val="005134C2"/>
    <w:rsid w:val="005255C9"/>
    <w:rsid w:val="00533021"/>
    <w:rsid w:val="00534E2C"/>
    <w:rsid w:val="00551384"/>
    <w:rsid w:val="0055217F"/>
    <w:rsid w:val="00560AB8"/>
    <w:rsid w:val="00563550"/>
    <w:rsid w:val="00565164"/>
    <w:rsid w:val="00566E9F"/>
    <w:rsid w:val="005671C1"/>
    <w:rsid w:val="005729A0"/>
    <w:rsid w:val="0057359D"/>
    <w:rsid w:val="00575D68"/>
    <w:rsid w:val="00577E89"/>
    <w:rsid w:val="005826DF"/>
    <w:rsid w:val="00593137"/>
    <w:rsid w:val="00596D50"/>
    <w:rsid w:val="005A7092"/>
    <w:rsid w:val="005A7ACA"/>
    <w:rsid w:val="005B01FC"/>
    <w:rsid w:val="005B1D67"/>
    <w:rsid w:val="005C34A6"/>
    <w:rsid w:val="005C53C0"/>
    <w:rsid w:val="005C5459"/>
    <w:rsid w:val="005C584F"/>
    <w:rsid w:val="005D2A91"/>
    <w:rsid w:val="005D4D1F"/>
    <w:rsid w:val="005D4F55"/>
    <w:rsid w:val="005D6EFC"/>
    <w:rsid w:val="005E1096"/>
    <w:rsid w:val="005E3DB2"/>
    <w:rsid w:val="005E7C04"/>
    <w:rsid w:val="005F7A65"/>
    <w:rsid w:val="00612872"/>
    <w:rsid w:val="00613355"/>
    <w:rsid w:val="00630BC2"/>
    <w:rsid w:val="0063192C"/>
    <w:rsid w:val="00632CC0"/>
    <w:rsid w:val="00635ECA"/>
    <w:rsid w:val="006441E8"/>
    <w:rsid w:val="006461B5"/>
    <w:rsid w:val="006463EA"/>
    <w:rsid w:val="00663734"/>
    <w:rsid w:val="00674662"/>
    <w:rsid w:val="00674A23"/>
    <w:rsid w:val="006807BC"/>
    <w:rsid w:val="006838FC"/>
    <w:rsid w:val="00683C5E"/>
    <w:rsid w:val="00686E4E"/>
    <w:rsid w:val="006934F3"/>
    <w:rsid w:val="00694DE2"/>
    <w:rsid w:val="00696154"/>
    <w:rsid w:val="006A0D57"/>
    <w:rsid w:val="006A4803"/>
    <w:rsid w:val="006C72F4"/>
    <w:rsid w:val="006D2690"/>
    <w:rsid w:val="006D2C9C"/>
    <w:rsid w:val="006D79D9"/>
    <w:rsid w:val="006E3F77"/>
    <w:rsid w:val="006E680C"/>
    <w:rsid w:val="006E70AF"/>
    <w:rsid w:val="006F5A85"/>
    <w:rsid w:val="006F636B"/>
    <w:rsid w:val="00707C81"/>
    <w:rsid w:val="00707CA3"/>
    <w:rsid w:val="007126F2"/>
    <w:rsid w:val="00713F71"/>
    <w:rsid w:val="00724B99"/>
    <w:rsid w:val="007256BB"/>
    <w:rsid w:val="00736052"/>
    <w:rsid w:val="007367B6"/>
    <w:rsid w:val="00742B6C"/>
    <w:rsid w:val="00742C25"/>
    <w:rsid w:val="00743044"/>
    <w:rsid w:val="0075337E"/>
    <w:rsid w:val="007569CC"/>
    <w:rsid w:val="00760743"/>
    <w:rsid w:val="00760DC3"/>
    <w:rsid w:val="00762BF1"/>
    <w:rsid w:val="00766F64"/>
    <w:rsid w:val="0077014A"/>
    <w:rsid w:val="007706A9"/>
    <w:rsid w:val="007725BF"/>
    <w:rsid w:val="00775BEC"/>
    <w:rsid w:val="007765A6"/>
    <w:rsid w:val="00776BA0"/>
    <w:rsid w:val="00780295"/>
    <w:rsid w:val="007816DE"/>
    <w:rsid w:val="007860FD"/>
    <w:rsid w:val="00794E1A"/>
    <w:rsid w:val="00796426"/>
    <w:rsid w:val="007A1757"/>
    <w:rsid w:val="007A2DE2"/>
    <w:rsid w:val="007A3170"/>
    <w:rsid w:val="007B3C34"/>
    <w:rsid w:val="007B668C"/>
    <w:rsid w:val="007B6902"/>
    <w:rsid w:val="007C0F9D"/>
    <w:rsid w:val="007C1B9A"/>
    <w:rsid w:val="007E0E45"/>
    <w:rsid w:val="007E32CB"/>
    <w:rsid w:val="007F4664"/>
    <w:rsid w:val="00804249"/>
    <w:rsid w:val="00805243"/>
    <w:rsid w:val="00805DE0"/>
    <w:rsid w:val="00806DF1"/>
    <w:rsid w:val="008071AE"/>
    <w:rsid w:val="008224B7"/>
    <w:rsid w:val="00825350"/>
    <w:rsid w:val="008276A4"/>
    <w:rsid w:val="0082772E"/>
    <w:rsid w:val="0084299D"/>
    <w:rsid w:val="008501BE"/>
    <w:rsid w:val="008509B6"/>
    <w:rsid w:val="0085219B"/>
    <w:rsid w:val="00854039"/>
    <w:rsid w:val="00856222"/>
    <w:rsid w:val="00874EA0"/>
    <w:rsid w:val="0088014A"/>
    <w:rsid w:val="0088410A"/>
    <w:rsid w:val="008848EE"/>
    <w:rsid w:val="008863D4"/>
    <w:rsid w:val="00895873"/>
    <w:rsid w:val="008A75CD"/>
    <w:rsid w:val="008B078A"/>
    <w:rsid w:val="008B093F"/>
    <w:rsid w:val="008B79C9"/>
    <w:rsid w:val="008D14FA"/>
    <w:rsid w:val="008D27A7"/>
    <w:rsid w:val="008D3D51"/>
    <w:rsid w:val="008D4A1C"/>
    <w:rsid w:val="008D5798"/>
    <w:rsid w:val="008F16CE"/>
    <w:rsid w:val="00902489"/>
    <w:rsid w:val="009064E5"/>
    <w:rsid w:val="00910C63"/>
    <w:rsid w:val="00917327"/>
    <w:rsid w:val="00920658"/>
    <w:rsid w:val="00922A08"/>
    <w:rsid w:val="00926863"/>
    <w:rsid w:val="00927B64"/>
    <w:rsid w:val="009346FB"/>
    <w:rsid w:val="009352EC"/>
    <w:rsid w:val="009356DE"/>
    <w:rsid w:val="0094039F"/>
    <w:rsid w:val="00940806"/>
    <w:rsid w:val="00941ADF"/>
    <w:rsid w:val="00942008"/>
    <w:rsid w:val="0094373A"/>
    <w:rsid w:val="00945120"/>
    <w:rsid w:val="009479AB"/>
    <w:rsid w:val="00947FF5"/>
    <w:rsid w:val="009509BC"/>
    <w:rsid w:val="0095180D"/>
    <w:rsid w:val="009532EE"/>
    <w:rsid w:val="00960560"/>
    <w:rsid w:val="009745FC"/>
    <w:rsid w:val="00975263"/>
    <w:rsid w:val="009800A7"/>
    <w:rsid w:val="00981CCA"/>
    <w:rsid w:val="00983B52"/>
    <w:rsid w:val="009846C8"/>
    <w:rsid w:val="009848B1"/>
    <w:rsid w:val="0098568E"/>
    <w:rsid w:val="00987BD3"/>
    <w:rsid w:val="00997278"/>
    <w:rsid w:val="009A1EE9"/>
    <w:rsid w:val="009A6907"/>
    <w:rsid w:val="009A7A17"/>
    <w:rsid w:val="009B16BD"/>
    <w:rsid w:val="009B4F21"/>
    <w:rsid w:val="009B5569"/>
    <w:rsid w:val="009C649E"/>
    <w:rsid w:val="009E2857"/>
    <w:rsid w:val="009E5AEB"/>
    <w:rsid w:val="009F78A7"/>
    <w:rsid w:val="00A004A8"/>
    <w:rsid w:val="00A02997"/>
    <w:rsid w:val="00A07496"/>
    <w:rsid w:val="00A2080A"/>
    <w:rsid w:val="00A31946"/>
    <w:rsid w:val="00A320EB"/>
    <w:rsid w:val="00A349E9"/>
    <w:rsid w:val="00A53455"/>
    <w:rsid w:val="00A616F6"/>
    <w:rsid w:val="00A6199A"/>
    <w:rsid w:val="00A72822"/>
    <w:rsid w:val="00A87358"/>
    <w:rsid w:val="00AA3EF4"/>
    <w:rsid w:val="00AA60A9"/>
    <w:rsid w:val="00AA6527"/>
    <w:rsid w:val="00AB1EB2"/>
    <w:rsid w:val="00AC2853"/>
    <w:rsid w:val="00AC7B98"/>
    <w:rsid w:val="00AD28C6"/>
    <w:rsid w:val="00AD40A2"/>
    <w:rsid w:val="00AE2F7B"/>
    <w:rsid w:val="00AE7D7D"/>
    <w:rsid w:val="00B0359F"/>
    <w:rsid w:val="00B13095"/>
    <w:rsid w:val="00B304D7"/>
    <w:rsid w:val="00B3101B"/>
    <w:rsid w:val="00B33601"/>
    <w:rsid w:val="00B36375"/>
    <w:rsid w:val="00B41B19"/>
    <w:rsid w:val="00B50B3B"/>
    <w:rsid w:val="00B50CD3"/>
    <w:rsid w:val="00B5653B"/>
    <w:rsid w:val="00B63BAC"/>
    <w:rsid w:val="00B64044"/>
    <w:rsid w:val="00B6781E"/>
    <w:rsid w:val="00B77A55"/>
    <w:rsid w:val="00B77BB8"/>
    <w:rsid w:val="00B77F21"/>
    <w:rsid w:val="00B85AEB"/>
    <w:rsid w:val="00B954B2"/>
    <w:rsid w:val="00BA3216"/>
    <w:rsid w:val="00BA6635"/>
    <w:rsid w:val="00BB2E30"/>
    <w:rsid w:val="00BB3CDC"/>
    <w:rsid w:val="00BC1E29"/>
    <w:rsid w:val="00BC41B2"/>
    <w:rsid w:val="00BD49EE"/>
    <w:rsid w:val="00BD57B0"/>
    <w:rsid w:val="00BE426F"/>
    <w:rsid w:val="00BE64BC"/>
    <w:rsid w:val="00BE7657"/>
    <w:rsid w:val="00BF2599"/>
    <w:rsid w:val="00C015A4"/>
    <w:rsid w:val="00C03A7B"/>
    <w:rsid w:val="00C16898"/>
    <w:rsid w:val="00C23F17"/>
    <w:rsid w:val="00C26BE5"/>
    <w:rsid w:val="00C447AD"/>
    <w:rsid w:val="00C51487"/>
    <w:rsid w:val="00C51687"/>
    <w:rsid w:val="00C52889"/>
    <w:rsid w:val="00C57981"/>
    <w:rsid w:val="00C84088"/>
    <w:rsid w:val="00C92AAA"/>
    <w:rsid w:val="00C97822"/>
    <w:rsid w:val="00CA2C4F"/>
    <w:rsid w:val="00CA2ECB"/>
    <w:rsid w:val="00CA5E71"/>
    <w:rsid w:val="00CB695A"/>
    <w:rsid w:val="00CC0D86"/>
    <w:rsid w:val="00CC1A41"/>
    <w:rsid w:val="00CD6561"/>
    <w:rsid w:val="00CD7A24"/>
    <w:rsid w:val="00CF2AB5"/>
    <w:rsid w:val="00CF2DDE"/>
    <w:rsid w:val="00D00DEC"/>
    <w:rsid w:val="00D038E1"/>
    <w:rsid w:val="00D05CF1"/>
    <w:rsid w:val="00D07126"/>
    <w:rsid w:val="00D07449"/>
    <w:rsid w:val="00D11DE4"/>
    <w:rsid w:val="00D12F75"/>
    <w:rsid w:val="00D13311"/>
    <w:rsid w:val="00D20D60"/>
    <w:rsid w:val="00D2339D"/>
    <w:rsid w:val="00D24FA5"/>
    <w:rsid w:val="00D27C1B"/>
    <w:rsid w:val="00D33593"/>
    <w:rsid w:val="00D61E69"/>
    <w:rsid w:val="00D6493C"/>
    <w:rsid w:val="00D71409"/>
    <w:rsid w:val="00D803A9"/>
    <w:rsid w:val="00D8420B"/>
    <w:rsid w:val="00D95885"/>
    <w:rsid w:val="00D95FED"/>
    <w:rsid w:val="00D97A5D"/>
    <w:rsid w:val="00DA2DEF"/>
    <w:rsid w:val="00DA5E9C"/>
    <w:rsid w:val="00DA758B"/>
    <w:rsid w:val="00DB1CC6"/>
    <w:rsid w:val="00DB6396"/>
    <w:rsid w:val="00DC3973"/>
    <w:rsid w:val="00DC4136"/>
    <w:rsid w:val="00DC5C63"/>
    <w:rsid w:val="00DD3ACE"/>
    <w:rsid w:val="00DD4C00"/>
    <w:rsid w:val="00DE0BDE"/>
    <w:rsid w:val="00DE4C20"/>
    <w:rsid w:val="00DF3DB4"/>
    <w:rsid w:val="00DF4F65"/>
    <w:rsid w:val="00DF7A6A"/>
    <w:rsid w:val="00E041B7"/>
    <w:rsid w:val="00E26445"/>
    <w:rsid w:val="00E300A5"/>
    <w:rsid w:val="00E35D58"/>
    <w:rsid w:val="00E36CC5"/>
    <w:rsid w:val="00E41F83"/>
    <w:rsid w:val="00E436AC"/>
    <w:rsid w:val="00E44036"/>
    <w:rsid w:val="00E4644F"/>
    <w:rsid w:val="00E50E0B"/>
    <w:rsid w:val="00E50F2B"/>
    <w:rsid w:val="00E6197E"/>
    <w:rsid w:val="00E646AE"/>
    <w:rsid w:val="00E7207B"/>
    <w:rsid w:val="00E76C32"/>
    <w:rsid w:val="00E80458"/>
    <w:rsid w:val="00E80B80"/>
    <w:rsid w:val="00E902DF"/>
    <w:rsid w:val="00E96CBE"/>
    <w:rsid w:val="00EA158D"/>
    <w:rsid w:val="00EA7588"/>
    <w:rsid w:val="00EB148C"/>
    <w:rsid w:val="00EB54A8"/>
    <w:rsid w:val="00ED2ADE"/>
    <w:rsid w:val="00EE0D6B"/>
    <w:rsid w:val="00EE5475"/>
    <w:rsid w:val="00EF535A"/>
    <w:rsid w:val="00F02E17"/>
    <w:rsid w:val="00F04F13"/>
    <w:rsid w:val="00F23BCA"/>
    <w:rsid w:val="00F348C9"/>
    <w:rsid w:val="00F42DAD"/>
    <w:rsid w:val="00F430DB"/>
    <w:rsid w:val="00F4431A"/>
    <w:rsid w:val="00F44372"/>
    <w:rsid w:val="00F5473D"/>
    <w:rsid w:val="00F54995"/>
    <w:rsid w:val="00F658FA"/>
    <w:rsid w:val="00F72B95"/>
    <w:rsid w:val="00F73683"/>
    <w:rsid w:val="00F766FC"/>
    <w:rsid w:val="00F76E99"/>
    <w:rsid w:val="00F82AAB"/>
    <w:rsid w:val="00F84AFB"/>
    <w:rsid w:val="00F9116E"/>
    <w:rsid w:val="00F939D7"/>
    <w:rsid w:val="00F95042"/>
    <w:rsid w:val="00F95EFF"/>
    <w:rsid w:val="00F9654B"/>
    <w:rsid w:val="00FA2CF3"/>
    <w:rsid w:val="00FA3CA9"/>
    <w:rsid w:val="00FA422C"/>
    <w:rsid w:val="00FA6D4C"/>
    <w:rsid w:val="00FB12D4"/>
    <w:rsid w:val="00FC0CC3"/>
    <w:rsid w:val="00FC429F"/>
    <w:rsid w:val="00FC5455"/>
    <w:rsid w:val="00FD18D3"/>
    <w:rsid w:val="00FD52EA"/>
    <w:rsid w:val="00FD72BA"/>
    <w:rsid w:val="00FD7B48"/>
    <w:rsid w:val="00FE20FB"/>
    <w:rsid w:val="00FE2C9E"/>
    <w:rsid w:val="00FE4CAF"/>
    <w:rsid w:val="00FF1E43"/>
    <w:rsid w:val="00FF3416"/>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3CF7"/>
  <w15:chartTrackingRefBased/>
  <w15:docId w15:val="{D0CA8356-7605-4F17-9424-EF337E3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F13"/>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F13"/>
  </w:style>
  <w:style w:type="paragraph" w:customStyle="1" w:styleId="xmsonormal">
    <w:name w:val="x_msonormal"/>
    <w:basedOn w:val="Normal"/>
    <w:rsid w:val="00F04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4044"/>
    <w:pPr>
      <w:ind w:left="720"/>
      <w:contextualSpacing/>
    </w:pPr>
  </w:style>
  <w:style w:type="paragraph" w:styleId="NormalWeb">
    <w:name w:val="Normal (Web)"/>
    <w:basedOn w:val="Normal"/>
    <w:uiPriority w:val="99"/>
    <w:unhideWhenUsed/>
    <w:rsid w:val="00295CF0"/>
    <w:pPr>
      <w:spacing w:before="100" w:beforeAutospacing="1" w:after="100" w:afterAutospacing="1" w:line="240" w:lineRule="auto"/>
    </w:pPr>
    <w:rPr>
      <w:rFonts w:ascii="Times New Roman" w:eastAsia="Calibri" w:hAnsi="Times New Roman" w:cs="Times New Roman"/>
      <w:color w:val="000000"/>
      <w:sz w:val="24"/>
      <w:szCs w:val="24"/>
      <w:lang w:eastAsia="en-GB"/>
    </w:rPr>
  </w:style>
  <w:style w:type="paragraph" w:customStyle="1" w:styleId="ydpe06a94aayiv4884094150msoplaintext">
    <w:name w:val="ydpe06a94aayiv4884094150msoplaintext"/>
    <w:basedOn w:val="Normal"/>
    <w:rsid w:val="00295CF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21655">
      <w:bodyDiv w:val="1"/>
      <w:marLeft w:val="0"/>
      <w:marRight w:val="0"/>
      <w:marTop w:val="0"/>
      <w:marBottom w:val="0"/>
      <w:divBdr>
        <w:top w:val="none" w:sz="0" w:space="0" w:color="auto"/>
        <w:left w:val="none" w:sz="0" w:space="0" w:color="auto"/>
        <w:bottom w:val="none" w:sz="0" w:space="0" w:color="auto"/>
        <w:right w:val="none" w:sz="0" w:space="0" w:color="auto"/>
      </w:divBdr>
    </w:div>
    <w:div w:id="14633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3</cp:revision>
  <cp:lastPrinted>2019-02-18T17:41:00Z</cp:lastPrinted>
  <dcterms:created xsi:type="dcterms:W3CDTF">2019-02-19T11:05:00Z</dcterms:created>
  <dcterms:modified xsi:type="dcterms:W3CDTF">2019-02-19T11:05:00Z</dcterms:modified>
</cp:coreProperties>
</file>