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87A89" w14:textId="77777777" w:rsidR="002F1FA5" w:rsidRPr="00E20D72" w:rsidRDefault="002F1FA5" w:rsidP="00950C30">
      <w:pPr>
        <w:spacing w:before="120" w:after="120" w:line="360" w:lineRule="auto"/>
        <w:jc w:val="center"/>
        <w:rPr>
          <w:rFonts w:asciiTheme="minorHAnsi" w:hAnsiTheme="minorHAnsi" w:cstheme="minorHAnsi"/>
          <w:b/>
          <w:sz w:val="28"/>
          <w:szCs w:val="28"/>
        </w:rPr>
      </w:pPr>
      <w:r w:rsidRPr="00E20D72">
        <w:rPr>
          <w:rFonts w:asciiTheme="minorHAnsi" w:hAnsiTheme="minorHAnsi" w:cstheme="minorHAnsi"/>
          <w:b/>
          <w:sz w:val="28"/>
          <w:szCs w:val="28"/>
        </w:rPr>
        <w:t xml:space="preserve">REPRESENTATION BY </w:t>
      </w:r>
      <w:r w:rsidR="00C81973" w:rsidRPr="00E20D72">
        <w:rPr>
          <w:rFonts w:asciiTheme="minorHAnsi" w:hAnsiTheme="minorHAnsi" w:cstheme="minorHAnsi"/>
          <w:b/>
          <w:sz w:val="28"/>
          <w:szCs w:val="28"/>
        </w:rPr>
        <w:t>THE KIRTON AND TRIMLEY COMMUNITY ACTION GROUP (KATCAG) TO THE</w:t>
      </w:r>
      <w:r w:rsidRPr="00E20D72">
        <w:rPr>
          <w:rFonts w:asciiTheme="minorHAnsi" w:hAnsiTheme="minorHAnsi" w:cstheme="minorHAnsi"/>
          <w:b/>
          <w:sz w:val="28"/>
          <w:szCs w:val="28"/>
        </w:rPr>
        <w:t xml:space="preserve"> SUFFOLK COASTAL FINAL DRAFT PLAN</w:t>
      </w:r>
    </w:p>
    <w:p w14:paraId="42F11425" w14:textId="683C85B2" w:rsidR="006C0442" w:rsidRPr="00950C30" w:rsidRDefault="006C0442" w:rsidP="00950C30">
      <w:pPr>
        <w:spacing w:before="120" w:after="120" w:line="360" w:lineRule="auto"/>
        <w:jc w:val="both"/>
        <w:rPr>
          <w:rFonts w:asciiTheme="minorHAnsi" w:hAnsiTheme="minorHAnsi" w:cstheme="minorHAnsi"/>
          <w:b/>
          <w:i/>
          <w:color w:val="C00000"/>
          <w:sz w:val="20"/>
          <w:szCs w:val="20"/>
        </w:rPr>
      </w:pPr>
      <w:r w:rsidRPr="00950C30">
        <w:rPr>
          <w:rFonts w:asciiTheme="minorHAnsi" w:hAnsiTheme="minorHAnsi" w:cstheme="minorHAnsi"/>
          <w:b/>
          <w:i/>
          <w:color w:val="C00000"/>
          <w:sz w:val="20"/>
          <w:szCs w:val="20"/>
        </w:rPr>
        <w:t xml:space="preserve">KATCAG </w:t>
      </w:r>
      <w:r w:rsidRPr="00950C30">
        <w:rPr>
          <w:rFonts w:asciiTheme="minorHAnsi" w:hAnsiTheme="minorHAnsi" w:cstheme="minorHAnsi"/>
          <w:b/>
          <w:i/>
          <w:color w:val="C00000"/>
          <w:sz w:val="20"/>
          <w:szCs w:val="20"/>
          <w:u w:val="single"/>
        </w:rPr>
        <w:t>DOES</w:t>
      </w:r>
      <w:r w:rsidRPr="00950C30">
        <w:rPr>
          <w:rFonts w:asciiTheme="minorHAnsi" w:hAnsiTheme="minorHAnsi" w:cstheme="minorHAnsi"/>
          <w:b/>
          <w:i/>
          <w:color w:val="C00000"/>
          <w:sz w:val="20"/>
          <w:szCs w:val="20"/>
        </w:rPr>
        <w:t xml:space="preserve"> WISH TO PARTICIPATE AT THE ORAL EXAMINATION</w:t>
      </w:r>
      <w:r w:rsidR="006D4714" w:rsidRPr="00950C30">
        <w:rPr>
          <w:rFonts w:asciiTheme="minorHAnsi" w:hAnsiTheme="minorHAnsi" w:cstheme="minorHAnsi"/>
          <w:b/>
          <w:i/>
          <w:color w:val="C00000"/>
          <w:sz w:val="20"/>
          <w:szCs w:val="20"/>
        </w:rPr>
        <w:t xml:space="preserve"> AND WILL BE REPRESENTED BY ITS BARRISTER, PLANNING CONSULTANT OR INDIVIDUAL MEMBERS OF ITS STEERING GROUP</w:t>
      </w:r>
    </w:p>
    <w:p w14:paraId="05F8DAF9" w14:textId="26DF4DBB" w:rsidR="002F1FA5" w:rsidRPr="00E20D72" w:rsidRDefault="00950C30" w:rsidP="00950C30">
      <w:pPr>
        <w:spacing w:before="120" w:after="120" w:line="360" w:lineRule="auto"/>
        <w:rPr>
          <w:rFonts w:asciiTheme="minorHAnsi" w:hAnsiTheme="minorHAnsi" w:cstheme="minorHAnsi"/>
          <w:b/>
          <w:sz w:val="28"/>
          <w:szCs w:val="28"/>
        </w:rPr>
      </w:pPr>
      <w:r>
        <w:rPr>
          <w:rFonts w:asciiTheme="minorHAnsi" w:hAnsiTheme="minorHAnsi" w:cstheme="minorHAnsi"/>
          <w:b/>
          <w:sz w:val="28"/>
          <w:szCs w:val="28"/>
        </w:rPr>
        <w:t xml:space="preserve">OBJECTIONS TO </w:t>
      </w:r>
      <w:r w:rsidR="006D4714" w:rsidRPr="00E20D72">
        <w:rPr>
          <w:rFonts w:asciiTheme="minorHAnsi" w:hAnsiTheme="minorHAnsi" w:cstheme="minorHAnsi"/>
          <w:b/>
          <w:sz w:val="28"/>
          <w:szCs w:val="28"/>
        </w:rPr>
        <w:t>POLICY SCLP12.35 – LAND AT INNOCENCE FARM</w:t>
      </w:r>
    </w:p>
    <w:p w14:paraId="36F532F0" w14:textId="28FA36DE" w:rsidR="002F1FA5" w:rsidRPr="00E20D72" w:rsidRDefault="002F1FA5" w:rsidP="00C81973">
      <w:pPr>
        <w:spacing w:after="0" w:line="360" w:lineRule="auto"/>
        <w:jc w:val="both"/>
        <w:rPr>
          <w:rFonts w:asciiTheme="minorHAnsi" w:hAnsiTheme="minorHAnsi" w:cstheme="minorHAnsi"/>
          <w:sz w:val="24"/>
          <w:szCs w:val="24"/>
          <w:u w:val="single"/>
        </w:rPr>
      </w:pPr>
      <w:r w:rsidRPr="00E20D72">
        <w:rPr>
          <w:rFonts w:asciiTheme="minorHAnsi" w:hAnsiTheme="minorHAnsi" w:cstheme="minorHAnsi"/>
          <w:sz w:val="24"/>
          <w:szCs w:val="24"/>
          <w:u w:val="single"/>
        </w:rPr>
        <w:t>Introduction</w:t>
      </w:r>
    </w:p>
    <w:p w14:paraId="4E51A4AB" w14:textId="7023500A" w:rsidR="00E3305B" w:rsidRDefault="00E3305B" w:rsidP="00E3305B">
      <w:pPr>
        <w:pStyle w:val="ListParagraph"/>
        <w:numPr>
          <w:ilvl w:val="0"/>
          <w:numId w:val="1"/>
        </w:numPr>
        <w:spacing w:before="120" w:after="120" w:line="360" w:lineRule="auto"/>
        <w:ind w:left="567" w:hanging="562"/>
        <w:contextualSpacing w:val="0"/>
        <w:jc w:val="both"/>
        <w:rPr>
          <w:rFonts w:asciiTheme="minorHAnsi" w:hAnsiTheme="minorHAnsi" w:cstheme="minorHAnsi"/>
          <w:sz w:val="24"/>
          <w:szCs w:val="24"/>
        </w:rPr>
      </w:pPr>
      <w:r>
        <w:rPr>
          <w:rFonts w:asciiTheme="minorHAnsi" w:hAnsiTheme="minorHAnsi" w:cstheme="minorHAnsi"/>
          <w:sz w:val="24"/>
          <w:szCs w:val="24"/>
        </w:rPr>
        <w:t>Our key concern is that e</w:t>
      </w:r>
      <w:r w:rsidRPr="00E3305B">
        <w:rPr>
          <w:rFonts w:asciiTheme="minorHAnsi" w:hAnsiTheme="minorHAnsi" w:cstheme="minorHAnsi"/>
          <w:sz w:val="24"/>
          <w:szCs w:val="24"/>
        </w:rPr>
        <w:t xml:space="preserve">ven on the 2018 Port Study’s approach, taking (i) existing land </w:t>
      </w:r>
      <w:r>
        <w:rPr>
          <w:rFonts w:asciiTheme="minorHAnsi" w:hAnsiTheme="minorHAnsi" w:cstheme="minorHAnsi"/>
          <w:sz w:val="24"/>
          <w:szCs w:val="24"/>
        </w:rPr>
        <w:t>and</w:t>
      </w:r>
      <w:r w:rsidRPr="00E3305B">
        <w:rPr>
          <w:rFonts w:asciiTheme="minorHAnsi" w:hAnsiTheme="minorHAnsi" w:cstheme="minorHAnsi"/>
          <w:sz w:val="24"/>
          <w:szCs w:val="24"/>
        </w:rPr>
        <w:t xml:space="preserve"> (ii) existing sites in the pipeline</w:t>
      </w:r>
      <w:r>
        <w:rPr>
          <w:rFonts w:asciiTheme="minorHAnsi" w:hAnsiTheme="minorHAnsi" w:cstheme="minorHAnsi"/>
          <w:sz w:val="24"/>
          <w:szCs w:val="24"/>
        </w:rPr>
        <w:t>,</w:t>
      </w:r>
      <w:r w:rsidRPr="00E3305B">
        <w:rPr>
          <w:rFonts w:asciiTheme="minorHAnsi" w:hAnsiTheme="minorHAnsi" w:cstheme="minorHAnsi"/>
          <w:sz w:val="24"/>
          <w:szCs w:val="24"/>
        </w:rPr>
        <w:t xml:space="preserve"> there is no need to allocate a site on the scale of Innocence farm, as there are already sufficient pipeline sites to meet the central scenario</w:t>
      </w:r>
      <w:r w:rsidR="00D13569">
        <w:rPr>
          <w:rFonts w:asciiTheme="minorHAnsi" w:hAnsiTheme="minorHAnsi" w:cstheme="minorHAnsi"/>
          <w:sz w:val="24"/>
          <w:szCs w:val="24"/>
        </w:rPr>
        <w:t xml:space="preserve">. </w:t>
      </w:r>
      <w:bookmarkStart w:id="0" w:name="_GoBack"/>
      <w:bookmarkEnd w:id="0"/>
    </w:p>
    <w:p w14:paraId="1F2A793C" w14:textId="3AC7B3F8" w:rsidR="002F1FA5" w:rsidRPr="00E20D72" w:rsidRDefault="002F1FA5" w:rsidP="00E3305B">
      <w:pPr>
        <w:pStyle w:val="ListParagraph"/>
        <w:numPr>
          <w:ilvl w:val="0"/>
          <w:numId w:val="1"/>
        </w:numPr>
        <w:spacing w:before="120" w:after="120" w:line="360" w:lineRule="auto"/>
        <w:ind w:left="567" w:hanging="562"/>
        <w:contextualSpacing w:val="0"/>
        <w:jc w:val="both"/>
        <w:rPr>
          <w:rFonts w:asciiTheme="minorHAnsi" w:hAnsiTheme="minorHAnsi" w:cstheme="minorHAnsi"/>
          <w:sz w:val="24"/>
          <w:szCs w:val="24"/>
        </w:rPr>
      </w:pPr>
      <w:r w:rsidRPr="00E20D72">
        <w:rPr>
          <w:rFonts w:asciiTheme="minorHAnsi" w:hAnsiTheme="minorHAnsi" w:cstheme="minorHAnsi"/>
          <w:sz w:val="24"/>
          <w:szCs w:val="24"/>
        </w:rPr>
        <w:t>It is the submission of the Kirton and Triml</w:t>
      </w:r>
      <w:r w:rsidR="00CF01B1" w:rsidRPr="00E20D72">
        <w:rPr>
          <w:rFonts w:asciiTheme="minorHAnsi" w:hAnsiTheme="minorHAnsi" w:cstheme="minorHAnsi"/>
          <w:sz w:val="24"/>
          <w:szCs w:val="24"/>
        </w:rPr>
        <w:t>ey</w:t>
      </w:r>
      <w:r w:rsidRPr="00E20D72">
        <w:rPr>
          <w:rFonts w:asciiTheme="minorHAnsi" w:hAnsiTheme="minorHAnsi" w:cstheme="minorHAnsi"/>
          <w:sz w:val="24"/>
          <w:szCs w:val="24"/>
        </w:rPr>
        <w:t xml:space="preserve"> Community Action Group (“KATCAG”) that this </w:t>
      </w:r>
      <w:r w:rsidR="00292B4E">
        <w:rPr>
          <w:rFonts w:asciiTheme="minorHAnsi" w:hAnsiTheme="minorHAnsi" w:cstheme="minorHAnsi"/>
          <w:sz w:val="24"/>
          <w:szCs w:val="24"/>
        </w:rPr>
        <w:t>Plan</w:t>
      </w:r>
      <w:r w:rsidRPr="00E20D72">
        <w:rPr>
          <w:rFonts w:asciiTheme="minorHAnsi" w:hAnsiTheme="minorHAnsi" w:cstheme="minorHAnsi"/>
          <w:sz w:val="24"/>
          <w:szCs w:val="24"/>
        </w:rPr>
        <w:t xml:space="preserve"> has failed to meet its legal and procedural requirements. </w:t>
      </w:r>
    </w:p>
    <w:p w14:paraId="3B79B8EE" w14:textId="74E1E284" w:rsidR="002F1FA5" w:rsidRPr="00E20D72" w:rsidRDefault="00B71EBF" w:rsidP="00E3305B">
      <w:pPr>
        <w:pStyle w:val="ListParagraph"/>
        <w:numPr>
          <w:ilvl w:val="0"/>
          <w:numId w:val="1"/>
        </w:numPr>
        <w:spacing w:before="120" w:after="120" w:line="360" w:lineRule="auto"/>
        <w:ind w:left="567" w:hanging="562"/>
        <w:contextualSpacing w:val="0"/>
        <w:jc w:val="both"/>
        <w:rPr>
          <w:rFonts w:asciiTheme="minorHAnsi" w:hAnsiTheme="minorHAnsi" w:cstheme="minorHAnsi"/>
          <w:sz w:val="24"/>
          <w:szCs w:val="24"/>
        </w:rPr>
      </w:pPr>
      <w:r w:rsidRPr="00E20D72">
        <w:rPr>
          <w:rFonts w:asciiTheme="minorHAnsi" w:hAnsiTheme="minorHAnsi" w:cstheme="minorHAnsi"/>
          <w:sz w:val="24"/>
          <w:szCs w:val="24"/>
        </w:rPr>
        <w:t>A</w:t>
      </w:r>
      <w:r w:rsidR="002F1FA5" w:rsidRPr="00E20D72">
        <w:rPr>
          <w:rFonts w:asciiTheme="minorHAnsi" w:hAnsiTheme="minorHAnsi" w:cstheme="minorHAnsi"/>
          <w:sz w:val="24"/>
          <w:szCs w:val="24"/>
        </w:rPr>
        <w:t>lso</w:t>
      </w:r>
      <w:r w:rsidR="00DD1776">
        <w:rPr>
          <w:rFonts w:asciiTheme="minorHAnsi" w:hAnsiTheme="minorHAnsi" w:cstheme="minorHAnsi"/>
          <w:sz w:val="24"/>
          <w:szCs w:val="24"/>
        </w:rPr>
        <w:t>,</w:t>
      </w:r>
      <w:r w:rsidR="002F1FA5" w:rsidRPr="00E20D72">
        <w:rPr>
          <w:rFonts w:asciiTheme="minorHAnsi" w:hAnsiTheme="minorHAnsi" w:cstheme="minorHAnsi"/>
          <w:sz w:val="24"/>
          <w:szCs w:val="24"/>
        </w:rPr>
        <w:t xml:space="preserve"> </w:t>
      </w:r>
      <w:r w:rsidRPr="00E20D72">
        <w:rPr>
          <w:rFonts w:asciiTheme="minorHAnsi" w:hAnsiTheme="minorHAnsi" w:cstheme="minorHAnsi"/>
          <w:sz w:val="24"/>
          <w:szCs w:val="24"/>
        </w:rPr>
        <w:t xml:space="preserve">we </w:t>
      </w:r>
      <w:r w:rsidR="002F1FA5" w:rsidRPr="00E20D72">
        <w:rPr>
          <w:rFonts w:asciiTheme="minorHAnsi" w:hAnsiTheme="minorHAnsi" w:cstheme="minorHAnsi"/>
          <w:sz w:val="24"/>
          <w:szCs w:val="24"/>
        </w:rPr>
        <w:t xml:space="preserve">consider it unsound against each of the four “Soundness” criteria. </w:t>
      </w:r>
    </w:p>
    <w:p w14:paraId="06D0C69D" w14:textId="08DDB7B4" w:rsidR="002F1FA5" w:rsidRPr="00E20D72" w:rsidRDefault="002F1FA5" w:rsidP="00E3305B">
      <w:pPr>
        <w:pStyle w:val="ListParagraph"/>
        <w:numPr>
          <w:ilvl w:val="0"/>
          <w:numId w:val="1"/>
        </w:numPr>
        <w:spacing w:before="120" w:after="120" w:line="360" w:lineRule="auto"/>
        <w:ind w:left="567" w:hanging="562"/>
        <w:contextualSpacing w:val="0"/>
        <w:jc w:val="both"/>
        <w:rPr>
          <w:rFonts w:asciiTheme="minorHAnsi" w:hAnsiTheme="minorHAnsi" w:cstheme="minorHAnsi"/>
          <w:sz w:val="24"/>
          <w:szCs w:val="24"/>
        </w:rPr>
      </w:pPr>
      <w:r w:rsidRPr="00E20D72">
        <w:rPr>
          <w:rFonts w:asciiTheme="minorHAnsi" w:hAnsiTheme="minorHAnsi" w:cstheme="minorHAnsi"/>
          <w:sz w:val="24"/>
          <w:szCs w:val="24"/>
        </w:rPr>
        <w:t xml:space="preserve">The sole evidence base for this Policy is the 2018 Port Study. </w:t>
      </w:r>
      <w:r w:rsidR="00CF01B1" w:rsidRPr="00E20D72">
        <w:rPr>
          <w:rFonts w:asciiTheme="minorHAnsi" w:hAnsiTheme="minorHAnsi" w:cstheme="minorHAnsi"/>
          <w:sz w:val="24"/>
          <w:szCs w:val="24"/>
        </w:rPr>
        <w:t>We contend that this Study fails to provide credible justification for</w:t>
      </w:r>
      <w:r w:rsidRPr="00E20D72">
        <w:rPr>
          <w:rFonts w:asciiTheme="minorHAnsi" w:hAnsiTheme="minorHAnsi" w:cstheme="minorHAnsi"/>
          <w:sz w:val="24"/>
          <w:szCs w:val="24"/>
        </w:rPr>
        <w:t>:</w:t>
      </w:r>
    </w:p>
    <w:p w14:paraId="12602D76" w14:textId="15DD73B0" w:rsidR="002F1FA5" w:rsidRPr="00E20D72" w:rsidRDefault="00CF01B1" w:rsidP="00E3305B">
      <w:pPr>
        <w:numPr>
          <w:ilvl w:val="0"/>
          <w:numId w:val="7"/>
        </w:numPr>
        <w:spacing w:before="120" w:after="120" w:line="360" w:lineRule="auto"/>
        <w:ind w:left="1134" w:hanging="562"/>
        <w:jc w:val="both"/>
        <w:rPr>
          <w:rFonts w:asciiTheme="minorHAnsi" w:hAnsiTheme="minorHAnsi" w:cstheme="minorHAnsi"/>
          <w:sz w:val="24"/>
          <w:szCs w:val="24"/>
        </w:rPr>
      </w:pPr>
      <w:r w:rsidRPr="00E20D72">
        <w:rPr>
          <w:rFonts w:asciiTheme="minorHAnsi" w:hAnsiTheme="minorHAnsi" w:cstheme="minorHAnsi"/>
          <w:sz w:val="24"/>
          <w:szCs w:val="24"/>
        </w:rPr>
        <w:t>the allocation of any land for port related businesses and operations either with an existing employment allocation or without – let alone a greenfield site.</w:t>
      </w:r>
    </w:p>
    <w:p w14:paraId="0EBCB2BB" w14:textId="77777777" w:rsidR="002F1FA5" w:rsidRPr="00E20D72" w:rsidRDefault="002F1FA5" w:rsidP="00E3305B">
      <w:pPr>
        <w:numPr>
          <w:ilvl w:val="0"/>
          <w:numId w:val="7"/>
        </w:numPr>
        <w:spacing w:before="120" w:after="120" w:line="360" w:lineRule="auto"/>
        <w:ind w:left="1134" w:hanging="562"/>
        <w:jc w:val="both"/>
        <w:rPr>
          <w:rFonts w:asciiTheme="minorHAnsi" w:hAnsiTheme="minorHAnsi" w:cstheme="minorHAnsi"/>
          <w:sz w:val="24"/>
          <w:szCs w:val="24"/>
        </w:rPr>
      </w:pPr>
      <w:r w:rsidRPr="00E20D72">
        <w:rPr>
          <w:rFonts w:asciiTheme="minorHAnsi" w:hAnsiTheme="minorHAnsi" w:cstheme="minorHAnsi"/>
          <w:sz w:val="24"/>
          <w:szCs w:val="24"/>
        </w:rPr>
        <w:t>Innocence Farm being the only site suited to meet that need.</w:t>
      </w:r>
    </w:p>
    <w:p w14:paraId="335A0B8B" w14:textId="67736FBA" w:rsidR="002F1FA5" w:rsidRPr="00E20D72" w:rsidRDefault="008B6519" w:rsidP="00E3305B">
      <w:pPr>
        <w:pStyle w:val="ListParagraph"/>
        <w:numPr>
          <w:ilvl w:val="0"/>
          <w:numId w:val="1"/>
        </w:numPr>
        <w:spacing w:before="120" w:after="120" w:line="360" w:lineRule="auto"/>
        <w:ind w:left="567" w:hanging="562"/>
        <w:contextualSpacing w:val="0"/>
        <w:jc w:val="both"/>
        <w:rPr>
          <w:rFonts w:asciiTheme="minorHAnsi" w:hAnsiTheme="minorHAnsi" w:cstheme="minorHAnsi"/>
          <w:sz w:val="24"/>
          <w:szCs w:val="24"/>
        </w:rPr>
      </w:pPr>
      <w:r w:rsidRPr="00E20D72">
        <w:rPr>
          <w:rFonts w:asciiTheme="minorHAnsi" w:hAnsiTheme="minorHAnsi" w:cstheme="minorHAnsi"/>
          <w:sz w:val="24"/>
          <w:szCs w:val="24"/>
        </w:rPr>
        <w:t xml:space="preserve">The Justification Annex </w:t>
      </w:r>
      <w:r w:rsidR="002F1FA5" w:rsidRPr="00E20D72">
        <w:rPr>
          <w:rFonts w:asciiTheme="minorHAnsi" w:hAnsiTheme="minorHAnsi" w:cstheme="minorHAnsi"/>
          <w:sz w:val="24"/>
          <w:szCs w:val="24"/>
        </w:rPr>
        <w:t>to this submission explains the weaknesses inherent in the 2018 Port Study which we contend fatally undermine the Plan in respect</w:t>
      </w:r>
      <w:r w:rsidR="006D4714" w:rsidRPr="00E20D72">
        <w:rPr>
          <w:rFonts w:asciiTheme="minorHAnsi" w:hAnsiTheme="minorHAnsi" w:cstheme="minorHAnsi"/>
          <w:sz w:val="24"/>
          <w:szCs w:val="24"/>
        </w:rPr>
        <w:t xml:space="preserve"> of points 3(i) and 3(ii)</w:t>
      </w:r>
      <w:r w:rsidR="002F1FA5" w:rsidRPr="00E20D72">
        <w:rPr>
          <w:rFonts w:asciiTheme="minorHAnsi" w:hAnsiTheme="minorHAnsi" w:cstheme="minorHAnsi"/>
          <w:sz w:val="24"/>
          <w:szCs w:val="24"/>
        </w:rPr>
        <w:t>.</w:t>
      </w:r>
      <w:r w:rsidR="00EA33A8" w:rsidRPr="00E20D72">
        <w:rPr>
          <w:rFonts w:asciiTheme="minorHAnsi" w:hAnsiTheme="minorHAnsi" w:cstheme="minorHAnsi"/>
          <w:sz w:val="24"/>
          <w:szCs w:val="24"/>
        </w:rPr>
        <w:t xml:space="preserve">  </w:t>
      </w:r>
      <w:r w:rsidR="00EA33A8" w:rsidRPr="00E20D72">
        <w:rPr>
          <w:rFonts w:asciiTheme="minorHAnsi" w:hAnsiTheme="minorHAnsi" w:cstheme="minorHAnsi"/>
          <w:sz w:val="24"/>
          <w:szCs w:val="24"/>
          <w:u w:val="single"/>
        </w:rPr>
        <w:t xml:space="preserve">This Annex contains further detailed submissions relevant to </w:t>
      </w:r>
      <w:r w:rsidR="00932529" w:rsidRPr="00E20D72">
        <w:rPr>
          <w:rFonts w:asciiTheme="minorHAnsi" w:hAnsiTheme="minorHAnsi" w:cstheme="minorHAnsi"/>
          <w:sz w:val="24"/>
          <w:szCs w:val="24"/>
          <w:u w:val="single"/>
        </w:rPr>
        <w:t>soundness</w:t>
      </w:r>
      <w:proofErr w:type="gramStart"/>
      <w:r w:rsidR="00932529" w:rsidRPr="00E20D72">
        <w:rPr>
          <w:rFonts w:asciiTheme="minorHAnsi" w:hAnsiTheme="minorHAnsi" w:cstheme="minorHAnsi"/>
          <w:sz w:val="24"/>
          <w:szCs w:val="24"/>
          <w:u w:val="single"/>
        </w:rPr>
        <w:t>, in particular</w:t>
      </w:r>
      <w:r w:rsidR="006D4714" w:rsidRPr="00E20D72">
        <w:rPr>
          <w:rFonts w:asciiTheme="minorHAnsi" w:hAnsiTheme="minorHAnsi" w:cstheme="minorHAnsi"/>
          <w:sz w:val="24"/>
          <w:szCs w:val="24"/>
          <w:u w:val="single"/>
        </w:rPr>
        <w:t>,</w:t>
      </w:r>
      <w:r w:rsidR="00932529" w:rsidRPr="00E20D72">
        <w:rPr>
          <w:rFonts w:asciiTheme="minorHAnsi" w:hAnsiTheme="minorHAnsi" w:cstheme="minorHAnsi"/>
          <w:sz w:val="24"/>
          <w:szCs w:val="24"/>
          <w:u w:val="single"/>
        </w:rPr>
        <w:t xml:space="preserve"> on</w:t>
      </w:r>
      <w:proofErr w:type="gramEnd"/>
      <w:r w:rsidR="007150B4" w:rsidRPr="00E20D72">
        <w:rPr>
          <w:rFonts w:asciiTheme="minorHAnsi" w:hAnsiTheme="minorHAnsi" w:cstheme="minorHAnsi"/>
          <w:sz w:val="24"/>
          <w:szCs w:val="24"/>
          <w:u w:val="single"/>
        </w:rPr>
        <w:t xml:space="preserve"> the issue of justification.</w:t>
      </w:r>
    </w:p>
    <w:p w14:paraId="748EA9D8" w14:textId="77777777" w:rsidR="002F1FA5" w:rsidRPr="00E20D72" w:rsidRDefault="002F1FA5" w:rsidP="00C81973">
      <w:pPr>
        <w:pStyle w:val="ListParagraph"/>
        <w:numPr>
          <w:ilvl w:val="0"/>
          <w:numId w:val="2"/>
        </w:numPr>
        <w:spacing w:after="0" w:line="360" w:lineRule="auto"/>
        <w:ind w:left="567" w:hanging="567"/>
        <w:jc w:val="both"/>
        <w:rPr>
          <w:rFonts w:asciiTheme="minorHAnsi" w:hAnsiTheme="minorHAnsi" w:cstheme="minorHAnsi"/>
          <w:sz w:val="24"/>
          <w:szCs w:val="24"/>
        </w:rPr>
      </w:pPr>
      <w:r w:rsidRPr="00E20D72">
        <w:rPr>
          <w:rFonts w:asciiTheme="minorHAnsi" w:hAnsiTheme="minorHAnsi" w:cstheme="minorHAnsi"/>
          <w:sz w:val="24"/>
          <w:szCs w:val="24"/>
        </w:rPr>
        <w:t>What follows in this paper is an outline of our submissions on the following topics:</w:t>
      </w:r>
    </w:p>
    <w:p w14:paraId="2016CB04" w14:textId="77777777" w:rsidR="002F1FA5" w:rsidRPr="00E20D72" w:rsidRDefault="002F1FA5" w:rsidP="00C81973">
      <w:pPr>
        <w:pStyle w:val="ListParagraph"/>
        <w:numPr>
          <w:ilvl w:val="0"/>
          <w:numId w:val="3"/>
        </w:numPr>
        <w:spacing w:after="0" w:line="360" w:lineRule="auto"/>
        <w:ind w:left="1276" w:hanging="709"/>
        <w:jc w:val="both"/>
        <w:rPr>
          <w:rFonts w:asciiTheme="minorHAnsi" w:hAnsiTheme="minorHAnsi" w:cstheme="minorHAnsi"/>
          <w:sz w:val="24"/>
          <w:szCs w:val="24"/>
        </w:rPr>
      </w:pPr>
      <w:r w:rsidRPr="00E20D72">
        <w:rPr>
          <w:rFonts w:asciiTheme="minorHAnsi" w:hAnsiTheme="minorHAnsi" w:cstheme="minorHAnsi"/>
          <w:sz w:val="24"/>
          <w:szCs w:val="24"/>
        </w:rPr>
        <w:t>The duty to co-operate</w:t>
      </w:r>
    </w:p>
    <w:p w14:paraId="2577228F" w14:textId="77777777" w:rsidR="002F1FA5" w:rsidRPr="00E20D72" w:rsidRDefault="002F1FA5" w:rsidP="00C81973">
      <w:pPr>
        <w:pStyle w:val="ListParagraph"/>
        <w:numPr>
          <w:ilvl w:val="0"/>
          <w:numId w:val="3"/>
        </w:numPr>
        <w:spacing w:after="0" w:line="360" w:lineRule="auto"/>
        <w:ind w:left="1276" w:hanging="709"/>
        <w:jc w:val="both"/>
        <w:rPr>
          <w:rFonts w:asciiTheme="minorHAnsi" w:hAnsiTheme="minorHAnsi" w:cstheme="minorHAnsi"/>
          <w:sz w:val="24"/>
          <w:szCs w:val="24"/>
        </w:rPr>
      </w:pPr>
      <w:r w:rsidRPr="00E20D72">
        <w:rPr>
          <w:rFonts w:asciiTheme="minorHAnsi" w:hAnsiTheme="minorHAnsi" w:cstheme="minorHAnsi"/>
          <w:sz w:val="24"/>
          <w:szCs w:val="24"/>
        </w:rPr>
        <w:t>The issue whether the plan is positively prepared;</w:t>
      </w:r>
    </w:p>
    <w:p w14:paraId="66759413" w14:textId="77777777" w:rsidR="002F1FA5" w:rsidRPr="00E20D72" w:rsidRDefault="002F1FA5" w:rsidP="00C81973">
      <w:pPr>
        <w:pStyle w:val="ListParagraph"/>
        <w:numPr>
          <w:ilvl w:val="0"/>
          <w:numId w:val="3"/>
        </w:numPr>
        <w:spacing w:after="0" w:line="360" w:lineRule="auto"/>
        <w:ind w:left="1276" w:hanging="709"/>
        <w:jc w:val="both"/>
        <w:rPr>
          <w:rFonts w:asciiTheme="minorHAnsi" w:hAnsiTheme="minorHAnsi" w:cstheme="minorHAnsi"/>
          <w:sz w:val="24"/>
          <w:szCs w:val="24"/>
        </w:rPr>
      </w:pPr>
      <w:r w:rsidRPr="00E20D72">
        <w:rPr>
          <w:rFonts w:asciiTheme="minorHAnsi" w:hAnsiTheme="minorHAnsi" w:cstheme="minorHAnsi"/>
          <w:sz w:val="24"/>
          <w:szCs w:val="24"/>
        </w:rPr>
        <w:t>Justification;</w:t>
      </w:r>
    </w:p>
    <w:p w14:paraId="47BE8BB9" w14:textId="77777777" w:rsidR="002F1FA5" w:rsidRPr="00E20D72" w:rsidRDefault="002F1FA5" w:rsidP="00C81973">
      <w:pPr>
        <w:pStyle w:val="ListParagraph"/>
        <w:numPr>
          <w:ilvl w:val="0"/>
          <w:numId w:val="3"/>
        </w:numPr>
        <w:spacing w:after="0" w:line="360" w:lineRule="auto"/>
        <w:ind w:left="1276" w:hanging="709"/>
        <w:jc w:val="both"/>
        <w:rPr>
          <w:rFonts w:asciiTheme="minorHAnsi" w:hAnsiTheme="minorHAnsi" w:cstheme="minorHAnsi"/>
          <w:sz w:val="24"/>
          <w:szCs w:val="24"/>
        </w:rPr>
      </w:pPr>
      <w:r w:rsidRPr="00E20D72">
        <w:rPr>
          <w:rFonts w:asciiTheme="minorHAnsi" w:hAnsiTheme="minorHAnsi" w:cstheme="minorHAnsi"/>
          <w:sz w:val="24"/>
          <w:szCs w:val="24"/>
        </w:rPr>
        <w:t>Effectiveness; and</w:t>
      </w:r>
    </w:p>
    <w:p w14:paraId="26688CA3" w14:textId="6FE3FB26" w:rsidR="006C0442" w:rsidRPr="002112A2" w:rsidRDefault="002F1FA5" w:rsidP="002112A2">
      <w:pPr>
        <w:pStyle w:val="ListParagraph"/>
        <w:numPr>
          <w:ilvl w:val="0"/>
          <w:numId w:val="3"/>
        </w:numPr>
        <w:spacing w:after="0" w:line="360" w:lineRule="auto"/>
        <w:ind w:left="1276" w:hanging="709"/>
        <w:jc w:val="both"/>
        <w:rPr>
          <w:rFonts w:asciiTheme="minorHAnsi" w:hAnsiTheme="minorHAnsi" w:cstheme="minorHAnsi"/>
          <w:sz w:val="24"/>
          <w:szCs w:val="24"/>
        </w:rPr>
      </w:pPr>
      <w:r w:rsidRPr="00E20D72">
        <w:rPr>
          <w:rFonts w:asciiTheme="minorHAnsi" w:hAnsiTheme="minorHAnsi" w:cstheme="minorHAnsi"/>
          <w:sz w:val="24"/>
          <w:szCs w:val="24"/>
        </w:rPr>
        <w:t>Consistency with national policy.</w:t>
      </w:r>
    </w:p>
    <w:p w14:paraId="6BBBB629" w14:textId="77777777" w:rsidR="002F1FA5" w:rsidRPr="00E20D72" w:rsidRDefault="002F1FA5" w:rsidP="00C81973">
      <w:pPr>
        <w:spacing w:after="0" w:line="360" w:lineRule="auto"/>
        <w:ind w:left="567" w:hanging="567"/>
        <w:jc w:val="both"/>
        <w:rPr>
          <w:rFonts w:asciiTheme="minorHAnsi" w:hAnsiTheme="minorHAnsi" w:cstheme="minorHAnsi"/>
          <w:sz w:val="24"/>
          <w:szCs w:val="24"/>
        </w:rPr>
      </w:pPr>
    </w:p>
    <w:p w14:paraId="39270299" w14:textId="5FCAA54B" w:rsidR="002F1FA5" w:rsidRPr="00E20D72" w:rsidRDefault="002F1FA5" w:rsidP="00E20D72">
      <w:pPr>
        <w:pStyle w:val="ListParagraph"/>
        <w:numPr>
          <w:ilvl w:val="0"/>
          <w:numId w:val="4"/>
        </w:numPr>
        <w:spacing w:after="0" w:line="360" w:lineRule="auto"/>
        <w:ind w:left="567" w:hanging="567"/>
        <w:jc w:val="both"/>
        <w:rPr>
          <w:rFonts w:asciiTheme="minorHAnsi" w:hAnsiTheme="minorHAnsi" w:cstheme="minorHAnsi"/>
          <w:sz w:val="24"/>
          <w:szCs w:val="24"/>
        </w:rPr>
      </w:pPr>
      <w:r w:rsidRPr="00E20D72">
        <w:rPr>
          <w:rFonts w:asciiTheme="minorHAnsi" w:hAnsiTheme="minorHAnsi" w:cstheme="minorHAnsi"/>
          <w:b/>
          <w:sz w:val="24"/>
          <w:szCs w:val="24"/>
        </w:rPr>
        <w:t>Duty to Cooperate</w:t>
      </w:r>
      <w:r w:rsidRPr="00E20D72">
        <w:rPr>
          <w:rFonts w:asciiTheme="minorHAnsi" w:hAnsiTheme="minorHAnsi" w:cstheme="minorHAnsi"/>
          <w:sz w:val="24"/>
          <w:szCs w:val="24"/>
        </w:rPr>
        <w:t xml:space="preserve"> </w:t>
      </w:r>
    </w:p>
    <w:p w14:paraId="755A6C50" w14:textId="77777777" w:rsidR="00E20D72" w:rsidRPr="00E20D72" w:rsidRDefault="00E20D72" w:rsidP="00E20D72">
      <w:pPr>
        <w:spacing w:after="0" w:line="360" w:lineRule="auto"/>
        <w:ind w:left="720"/>
        <w:jc w:val="both"/>
        <w:rPr>
          <w:rFonts w:asciiTheme="minorHAnsi" w:hAnsiTheme="minorHAnsi" w:cstheme="minorHAnsi"/>
          <w:sz w:val="24"/>
          <w:szCs w:val="24"/>
        </w:rPr>
      </w:pPr>
    </w:p>
    <w:p w14:paraId="289B7C41" w14:textId="7C3416C5" w:rsidR="002F1FA5" w:rsidRPr="00E20D72" w:rsidRDefault="002F1FA5" w:rsidP="00C81973">
      <w:pPr>
        <w:numPr>
          <w:ilvl w:val="0"/>
          <w:numId w:val="2"/>
        </w:numPr>
        <w:spacing w:after="0" w:line="360" w:lineRule="auto"/>
        <w:ind w:hanging="720"/>
        <w:jc w:val="both"/>
        <w:rPr>
          <w:rFonts w:asciiTheme="minorHAnsi" w:hAnsiTheme="minorHAnsi" w:cstheme="minorHAnsi"/>
          <w:sz w:val="24"/>
          <w:szCs w:val="24"/>
        </w:rPr>
      </w:pPr>
      <w:r w:rsidRPr="00E20D72">
        <w:rPr>
          <w:rFonts w:asciiTheme="minorHAnsi" w:hAnsiTheme="minorHAnsi" w:cstheme="minorHAnsi"/>
          <w:sz w:val="24"/>
          <w:szCs w:val="24"/>
        </w:rPr>
        <w:t>The 2008 Study involved consultation with: Babergh D.C., Ipswich B.C., Mid Suffolk D.C., St Edmundsbury D.C., Forest Heath D.C., Colchester B.C., Tendring D.C., Huntingdonshire D.C. &amp; Peterborough C.C. By contrast in the 2018 Study a single workshop was held involving only 14 entities, none from outside the local area – see Appendix 2 page 59.</w:t>
      </w:r>
    </w:p>
    <w:p w14:paraId="6FFA86D4" w14:textId="77777777" w:rsidR="002F1FA5" w:rsidRPr="00E20D72" w:rsidRDefault="002F1FA5" w:rsidP="00C81973">
      <w:pPr>
        <w:spacing w:after="0" w:line="360" w:lineRule="auto"/>
        <w:ind w:left="720"/>
        <w:jc w:val="both"/>
        <w:rPr>
          <w:rFonts w:asciiTheme="minorHAnsi" w:hAnsiTheme="minorHAnsi" w:cstheme="minorHAnsi"/>
          <w:sz w:val="24"/>
          <w:szCs w:val="24"/>
        </w:rPr>
      </w:pPr>
    </w:p>
    <w:p w14:paraId="79135C36" w14:textId="77777777" w:rsidR="002F1FA5" w:rsidRPr="00E20D72" w:rsidRDefault="002F1FA5" w:rsidP="00C81973">
      <w:pPr>
        <w:numPr>
          <w:ilvl w:val="0"/>
          <w:numId w:val="2"/>
        </w:numPr>
        <w:spacing w:after="0" w:line="360" w:lineRule="auto"/>
        <w:ind w:hanging="720"/>
        <w:jc w:val="both"/>
        <w:rPr>
          <w:rFonts w:asciiTheme="minorHAnsi" w:hAnsiTheme="minorHAnsi" w:cstheme="minorHAnsi"/>
          <w:sz w:val="24"/>
          <w:szCs w:val="24"/>
        </w:rPr>
      </w:pPr>
      <w:r w:rsidRPr="00E20D72">
        <w:rPr>
          <w:rFonts w:asciiTheme="minorHAnsi" w:hAnsiTheme="minorHAnsi" w:cstheme="minorHAnsi"/>
          <w:sz w:val="24"/>
          <w:szCs w:val="24"/>
        </w:rPr>
        <w:t xml:space="preserve">Similarly, consultation with other LPAs has been minimal at the Plan stage as evidenced in the minutes of the Local Plan Working Group and the absence of other LPAs in the list of respondents to the First Draft. In our submission SCDC has paid no more than lip-service to its duty under the 2011 Localism Act to co-operate with other LPAs on strategic planning matters. </w:t>
      </w:r>
    </w:p>
    <w:p w14:paraId="76C584B7" w14:textId="77777777" w:rsidR="002F1FA5" w:rsidRPr="00E20D72" w:rsidRDefault="002F1FA5" w:rsidP="00C81973">
      <w:pPr>
        <w:pStyle w:val="ListParagraph"/>
        <w:spacing w:line="360" w:lineRule="auto"/>
        <w:jc w:val="both"/>
        <w:rPr>
          <w:rFonts w:asciiTheme="minorHAnsi" w:hAnsiTheme="minorHAnsi" w:cstheme="minorHAnsi"/>
          <w:sz w:val="24"/>
          <w:szCs w:val="24"/>
        </w:rPr>
      </w:pPr>
    </w:p>
    <w:p w14:paraId="12815F7D" w14:textId="3815BD6A" w:rsidR="002F1FA5" w:rsidRPr="00E20D72" w:rsidRDefault="002F1FA5" w:rsidP="00C81973">
      <w:pPr>
        <w:numPr>
          <w:ilvl w:val="0"/>
          <w:numId w:val="2"/>
        </w:numPr>
        <w:spacing w:after="0" w:line="360" w:lineRule="auto"/>
        <w:ind w:hanging="720"/>
        <w:jc w:val="both"/>
        <w:rPr>
          <w:rFonts w:asciiTheme="minorHAnsi" w:hAnsiTheme="minorHAnsi" w:cstheme="minorHAnsi"/>
          <w:sz w:val="24"/>
          <w:szCs w:val="24"/>
        </w:rPr>
      </w:pPr>
      <w:r w:rsidRPr="00E20D72">
        <w:rPr>
          <w:rFonts w:asciiTheme="minorHAnsi" w:hAnsiTheme="minorHAnsi" w:cstheme="minorHAnsi"/>
          <w:sz w:val="24"/>
          <w:szCs w:val="24"/>
        </w:rPr>
        <w:t>The Plan wholly fails to acknowledge the existence of some 184 Ha of land</w:t>
      </w:r>
      <w:r w:rsidR="000F2185" w:rsidRPr="00E20D72">
        <w:rPr>
          <w:rFonts w:asciiTheme="minorHAnsi" w:hAnsiTheme="minorHAnsi" w:cstheme="minorHAnsi"/>
          <w:sz w:val="24"/>
          <w:szCs w:val="24"/>
        </w:rPr>
        <w:t>,</w:t>
      </w:r>
      <w:r w:rsidRPr="00E20D72">
        <w:rPr>
          <w:rFonts w:asciiTheme="minorHAnsi" w:hAnsiTheme="minorHAnsi" w:cstheme="minorHAnsi"/>
          <w:sz w:val="24"/>
          <w:szCs w:val="24"/>
        </w:rPr>
        <w:t xml:space="preserve"> with planning permission but not yet developed or operational</w:t>
      </w:r>
      <w:r w:rsidR="000F2185" w:rsidRPr="00E20D72">
        <w:rPr>
          <w:rFonts w:asciiTheme="minorHAnsi" w:hAnsiTheme="minorHAnsi" w:cstheme="minorHAnsi"/>
          <w:sz w:val="24"/>
          <w:szCs w:val="24"/>
        </w:rPr>
        <w:t>,</w:t>
      </w:r>
      <w:r w:rsidRPr="00E20D72">
        <w:rPr>
          <w:rFonts w:asciiTheme="minorHAnsi" w:hAnsiTheme="minorHAnsi" w:cstheme="minorHAnsi"/>
          <w:sz w:val="24"/>
          <w:szCs w:val="24"/>
        </w:rPr>
        <w:t xml:space="preserve"> in neighbouring districts. We recognise the changed environment facing LPAs but submit that the selection of sites for these purposes is a matter of strategic significance, both regionally and nationally, and should not be left to a single LPA.  The Plan fails to meet the requirements of the 200</w:t>
      </w:r>
      <w:r w:rsidR="009D3DBD">
        <w:rPr>
          <w:rFonts w:asciiTheme="minorHAnsi" w:hAnsiTheme="minorHAnsi" w:cstheme="minorHAnsi"/>
          <w:sz w:val="24"/>
          <w:szCs w:val="24"/>
        </w:rPr>
        <w:t>4</w:t>
      </w:r>
      <w:r w:rsidRPr="00E20D72">
        <w:rPr>
          <w:rFonts w:asciiTheme="minorHAnsi" w:hAnsiTheme="minorHAnsi" w:cstheme="minorHAnsi"/>
          <w:sz w:val="24"/>
          <w:szCs w:val="24"/>
        </w:rPr>
        <w:t xml:space="preserve"> Act.</w:t>
      </w:r>
    </w:p>
    <w:p w14:paraId="0838ED65" w14:textId="77777777" w:rsidR="002F1FA5" w:rsidRPr="00E20D72" w:rsidRDefault="002F1FA5" w:rsidP="00C81973">
      <w:pPr>
        <w:pStyle w:val="NormalWeb"/>
        <w:spacing w:before="0" w:beforeAutospacing="0" w:after="0" w:afterAutospacing="0" w:line="360" w:lineRule="auto"/>
        <w:ind w:left="567" w:hanging="567"/>
        <w:jc w:val="both"/>
        <w:rPr>
          <w:rFonts w:asciiTheme="minorHAnsi" w:hAnsiTheme="minorHAnsi" w:cstheme="minorHAnsi"/>
        </w:rPr>
      </w:pPr>
    </w:p>
    <w:p w14:paraId="0AF7EAE6" w14:textId="747E2567" w:rsidR="002F1FA5" w:rsidRPr="00E20D72" w:rsidRDefault="00E20D72" w:rsidP="00C81973">
      <w:pPr>
        <w:pStyle w:val="NormalWeb"/>
        <w:numPr>
          <w:ilvl w:val="0"/>
          <w:numId w:val="4"/>
        </w:numPr>
        <w:spacing w:before="0" w:beforeAutospacing="0" w:after="0" w:afterAutospacing="0" w:line="360" w:lineRule="auto"/>
        <w:ind w:hanging="1080"/>
        <w:jc w:val="both"/>
        <w:rPr>
          <w:rFonts w:asciiTheme="minorHAnsi" w:hAnsiTheme="minorHAnsi" w:cstheme="minorHAnsi"/>
        </w:rPr>
      </w:pPr>
      <w:r>
        <w:rPr>
          <w:rFonts w:asciiTheme="minorHAnsi" w:hAnsiTheme="minorHAnsi" w:cstheme="minorHAnsi"/>
          <w:b/>
        </w:rPr>
        <w:br w:type="page"/>
      </w:r>
      <w:r w:rsidR="002F1FA5" w:rsidRPr="00E20D72">
        <w:rPr>
          <w:rFonts w:asciiTheme="minorHAnsi" w:hAnsiTheme="minorHAnsi" w:cstheme="minorHAnsi"/>
          <w:b/>
        </w:rPr>
        <w:lastRenderedPageBreak/>
        <w:t>Positively Prepared</w:t>
      </w:r>
      <w:r w:rsidR="002F1FA5" w:rsidRPr="00E20D72">
        <w:rPr>
          <w:rFonts w:asciiTheme="minorHAnsi" w:hAnsiTheme="minorHAnsi" w:cstheme="minorHAnsi"/>
        </w:rPr>
        <w:t xml:space="preserve"> –</w:t>
      </w:r>
    </w:p>
    <w:p w14:paraId="63FB3DAA" w14:textId="6DA1922D" w:rsidR="002F1FA5" w:rsidRPr="00E20D72" w:rsidRDefault="002F1FA5" w:rsidP="00C81973">
      <w:pPr>
        <w:pStyle w:val="NormalWeb"/>
        <w:spacing w:before="0" w:beforeAutospacing="0" w:after="0" w:afterAutospacing="0" w:line="360" w:lineRule="auto"/>
        <w:ind w:left="1080"/>
        <w:jc w:val="both"/>
        <w:rPr>
          <w:rFonts w:asciiTheme="minorHAnsi" w:hAnsiTheme="minorHAnsi" w:cstheme="minorHAnsi"/>
        </w:rPr>
      </w:pPr>
    </w:p>
    <w:p w14:paraId="7D581D92" w14:textId="7C196A05" w:rsidR="002F1FA5" w:rsidRDefault="002F1FA5" w:rsidP="00C35F66">
      <w:pPr>
        <w:pStyle w:val="NormalWeb"/>
        <w:numPr>
          <w:ilvl w:val="0"/>
          <w:numId w:val="2"/>
        </w:numPr>
        <w:spacing w:before="0" w:beforeAutospacing="0" w:after="0" w:afterAutospacing="0" w:line="360" w:lineRule="auto"/>
        <w:ind w:hanging="720"/>
        <w:jc w:val="both"/>
        <w:rPr>
          <w:rFonts w:asciiTheme="minorHAnsi" w:eastAsia="Times New Roman" w:hAnsiTheme="minorHAnsi" w:cstheme="minorHAnsi"/>
        </w:rPr>
      </w:pPr>
      <w:r w:rsidRPr="00E20D72">
        <w:rPr>
          <w:rFonts w:asciiTheme="minorHAnsi" w:hAnsiTheme="minorHAnsi" w:cstheme="minorHAnsi"/>
        </w:rPr>
        <w:t>We have identified significant weaknesses in the 2018 Port Study</w:t>
      </w:r>
      <w:r w:rsidR="006D4714" w:rsidRPr="00E20D72">
        <w:rPr>
          <w:rFonts w:asciiTheme="minorHAnsi" w:hAnsiTheme="minorHAnsi" w:cstheme="minorHAnsi"/>
        </w:rPr>
        <w:t>, which are highlighted in the</w:t>
      </w:r>
      <w:r w:rsidR="000F2185" w:rsidRPr="00E20D72">
        <w:rPr>
          <w:rFonts w:asciiTheme="minorHAnsi" w:hAnsiTheme="minorHAnsi" w:cstheme="minorHAnsi"/>
        </w:rPr>
        <w:t xml:space="preserve"> Justification Annex</w:t>
      </w:r>
      <w:r w:rsidRPr="00E20D72">
        <w:rPr>
          <w:rFonts w:asciiTheme="minorHAnsi" w:hAnsiTheme="minorHAnsi" w:cstheme="minorHAnsi"/>
        </w:rPr>
        <w:t>. Consequently</w:t>
      </w:r>
      <w:r w:rsidR="008B6915" w:rsidRPr="00E20D72">
        <w:rPr>
          <w:rFonts w:asciiTheme="minorHAnsi" w:hAnsiTheme="minorHAnsi" w:cstheme="minorHAnsi"/>
        </w:rPr>
        <w:t>,</w:t>
      </w:r>
      <w:r w:rsidRPr="00E20D72">
        <w:rPr>
          <w:rFonts w:asciiTheme="minorHAnsi" w:hAnsiTheme="minorHAnsi" w:cstheme="minorHAnsi"/>
        </w:rPr>
        <w:t xml:space="preserve"> Policy SCLP12.35 - upon which it depends - is itself deficient. </w:t>
      </w:r>
      <w:proofErr w:type="gramStart"/>
      <w:r w:rsidRPr="00E20D72">
        <w:rPr>
          <w:rFonts w:asciiTheme="minorHAnsi" w:hAnsiTheme="minorHAnsi" w:cstheme="minorHAnsi"/>
        </w:rPr>
        <w:t>In particular, there</w:t>
      </w:r>
      <w:proofErr w:type="gramEnd"/>
      <w:r w:rsidRPr="00E20D72">
        <w:rPr>
          <w:rFonts w:asciiTheme="minorHAnsi" w:hAnsiTheme="minorHAnsi" w:cstheme="minorHAnsi"/>
        </w:rPr>
        <w:t xml:space="preserve"> is no evidence of a strategic rationale for any aspect of the Policy. That lack of strategy stretches across a broad range of factors including the need for any land, the need for this site, the likely infrastructure costs, the impact on the road network not least the Orwell Bridge and the effect of pollution.</w:t>
      </w:r>
      <w:r w:rsidR="00C35F66" w:rsidRPr="00E20D72">
        <w:rPr>
          <w:rFonts w:asciiTheme="minorHAnsi" w:eastAsia="Times New Roman" w:hAnsiTheme="minorHAnsi" w:cstheme="minorHAnsi"/>
        </w:rPr>
        <w:t xml:space="preserve"> </w:t>
      </w:r>
    </w:p>
    <w:p w14:paraId="760543F7" w14:textId="77777777" w:rsidR="00FC25AE" w:rsidRPr="00E20D72" w:rsidRDefault="00FC25AE" w:rsidP="00FC25AE">
      <w:pPr>
        <w:pStyle w:val="NormalWeb"/>
        <w:spacing w:before="0" w:beforeAutospacing="0" w:after="0" w:afterAutospacing="0" w:line="360" w:lineRule="auto"/>
        <w:ind w:left="720"/>
        <w:jc w:val="both"/>
        <w:rPr>
          <w:rFonts w:asciiTheme="minorHAnsi" w:eastAsia="Times New Roman" w:hAnsiTheme="minorHAnsi" w:cstheme="minorHAnsi"/>
        </w:rPr>
      </w:pPr>
    </w:p>
    <w:p w14:paraId="5A4CBBB3" w14:textId="08F8D4E1" w:rsidR="002F1FA5" w:rsidRPr="00E20D72" w:rsidRDefault="002F1FA5" w:rsidP="00C81973">
      <w:pPr>
        <w:numPr>
          <w:ilvl w:val="0"/>
          <w:numId w:val="2"/>
        </w:numPr>
        <w:spacing w:after="0" w:line="360" w:lineRule="auto"/>
        <w:ind w:hanging="720"/>
        <w:jc w:val="both"/>
        <w:rPr>
          <w:rFonts w:asciiTheme="minorHAnsi" w:eastAsia="Times New Roman" w:hAnsiTheme="minorHAnsi" w:cstheme="minorHAnsi"/>
          <w:sz w:val="24"/>
          <w:szCs w:val="24"/>
          <w:lang w:eastAsia="en-GB"/>
        </w:rPr>
      </w:pPr>
      <w:r w:rsidRPr="00E20D72">
        <w:rPr>
          <w:rFonts w:asciiTheme="minorHAnsi" w:eastAsia="Times New Roman" w:hAnsiTheme="minorHAnsi" w:cstheme="minorHAnsi"/>
          <w:sz w:val="24"/>
          <w:szCs w:val="24"/>
          <w:lang w:eastAsia="en-GB"/>
        </w:rPr>
        <w:t>We note the following simply as fact.  In the Issues &amp; Options exercise in 2017 an “Agent” offered at Seven Hills 90ha. of land “</w:t>
      </w:r>
      <w:r w:rsidRPr="00E20D72">
        <w:rPr>
          <w:rFonts w:asciiTheme="minorHAnsi" w:hAnsiTheme="minorHAnsi" w:cstheme="minorHAnsi"/>
          <w:b/>
          <w:bCs/>
          <w:sz w:val="24"/>
          <w:szCs w:val="24"/>
          <w:lang w:eastAsia="en-GB"/>
        </w:rPr>
        <w:t>347 - Land north west of Walk Farm, Levington 90.2 Agent - Off-port distribution facilities.”</w:t>
      </w:r>
      <w:r w:rsidRPr="00E20D72">
        <w:rPr>
          <w:rFonts w:asciiTheme="minorHAnsi" w:hAnsiTheme="minorHAnsi" w:cstheme="minorHAnsi"/>
          <w:sz w:val="24"/>
          <w:szCs w:val="24"/>
        </w:rPr>
        <w:t xml:space="preserve">  No other site was offered with the “Off Port” description. Innocence</w:t>
      </w:r>
      <w:r w:rsidR="000F2185" w:rsidRPr="00E20D72">
        <w:rPr>
          <w:rFonts w:asciiTheme="minorHAnsi" w:hAnsiTheme="minorHAnsi" w:cstheme="minorHAnsi"/>
          <w:sz w:val="24"/>
          <w:szCs w:val="24"/>
        </w:rPr>
        <w:t xml:space="preserve"> Farm</w:t>
      </w:r>
      <w:r w:rsidRPr="00E20D72">
        <w:rPr>
          <w:rFonts w:asciiTheme="minorHAnsi" w:hAnsiTheme="minorHAnsi" w:cstheme="minorHAnsi"/>
          <w:sz w:val="24"/>
          <w:szCs w:val="24"/>
        </w:rPr>
        <w:t xml:space="preserve"> was offered for “Storage or Distribution</w:t>
      </w:r>
      <w:r w:rsidRPr="00E20D72">
        <w:rPr>
          <w:rFonts w:asciiTheme="minorHAnsi" w:hAnsiTheme="minorHAnsi" w:cstheme="minorHAnsi"/>
          <w:color w:val="1F497D"/>
          <w:sz w:val="24"/>
          <w:szCs w:val="24"/>
        </w:rPr>
        <w:t>.”  T</w:t>
      </w:r>
      <w:r w:rsidRPr="00E20D72">
        <w:rPr>
          <w:rFonts w:asciiTheme="minorHAnsi" w:hAnsiTheme="minorHAnsi" w:cstheme="minorHAnsi"/>
          <w:sz w:val="24"/>
          <w:szCs w:val="24"/>
        </w:rPr>
        <w:t xml:space="preserve">he 2018 Port Study refers only to </w:t>
      </w:r>
      <w:proofErr w:type="gramStart"/>
      <w:r w:rsidRPr="00E20D72">
        <w:rPr>
          <w:rFonts w:asciiTheme="minorHAnsi" w:hAnsiTheme="minorHAnsi" w:cstheme="minorHAnsi"/>
          <w:sz w:val="24"/>
          <w:szCs w:val="24"/>
        </w:rPr>
        <w:t>22.5Ha.of</w:t>
      </w:r>
      <w:proofErr w:type="gramEnd"/>
      <w:r w:rsidRPr="00E20D72">
        <w:rPr>
          <w:rFonts w:asciiTheme="minorHAnsi" w:hAnsiTheme="minorHAnsi" w:cstheme="minorHAnsi"/>
          <w:sz w:val="24"/>
          <w:szCs w:val="24"/>
        </w:rPr>
        <w:t xml:space="preserve"> this land as site 9 of the 10 identified. Para 5.2 said – </w:t>
      </w:r>
      <w:r w:rsidRPr="003936C5">
        <w:rPr>
          <w:rFonts w:asciiTheme="minorHAnsi" w:hAnsiTheme="minorHAnsi" w:cstheme="minorHAnsi"/>
          <w:color w:val="000000" w:themeColor="text1"/>
          <w:sz w:val="24"/>
          <w:szCs w:val="24"/>
        </w:rPr>
        <w:t>“</w:t>
      </w:r>
      <w:r w:rsidRPr="00E20D72">
        <w:rPr>
          <w:rFonts w:asciiTheme="minorHAnsi" w:hAnsiTheme="minorHAnsi" w:cstheme="minorHAnsi"/>
          <w:sz w:val="24"/>
          <w:szCs w:val="24"/>
        </w:rPr>
        <w:t>only two are being promoted for port-related uses.” (Christmas Yard &amp; Innocence).  Page 50 said – “Site (Felixstowe Road/Seven Hills) being promoted by landowner for business park uses.” Despite downplaying Seven Hills, the Bidwells Appraisal Matrix goes on to score it at 23 out of 30 – the same score as Innocence</w:t>
      </w:r>
      <w:r w:rsidR="006D4714" w:rsidRPr="00E20D72">
        <w:rPr>
          <w:rFonts w:asciiTheme="minorHAnsi" w:hAnsiTheme="minorHAnsi" w:cstheme="minorHAnsi"/>
          <w:sz w:val="24"/>
          <w:szCs w:val="24"/>
        </w:rPr>
        <w:t xml:space="preserve"> Farm</w:t>
      </w:r>
      <w:r w:rsidRPr="00E20D72">
        <w:rPr>
          <w:rFonts w:asciiTheme="minorHAnsi" w:hAnsiTheme="minorHAnsi" w:cstheme="minorHAnsi"/>
          <w:sz w:val="24"/>
          <w:szCs w:val="24"/>
        </w:rPr>
        <w:t>. The SCDC Final Plan 2019 includes the 22.5Ha business park as SCLP12.20.</w:t>
      </w:r>
    </w:p>
    <w:p w14:paraId="4CC9B5A4" w14:textId="77777777" w:rsidR="002F1FA5" w:rsidRPr="00E20D72" w:rsidRDefault="002F1FA5" w:rsidP="00C81973">
      <w:pPr>
        <w:pStyle w:val="ListParagraph"/>
        <w:spacing w:line="360" w:lineRule="auto"/>
        <w:jc w:val="both"/>
        <w:rPr>
          <w:rFonts w:asciiTheme="minorHAnsi" w:eastAsia="Times New Roman" w:hAnsiTheme="minorHAnsi" w:cstheme="minorHAnsi"/>
          <w:sz w:val="24"/>
          <w:szCs w:val="24"/>
          <w:lang w:eastAsia="en-GB"/>
        </w:rPr>
      </w:pPr>
    </w:p>
    <w:p w14:paraId="714A38D4" w14:textId="1523B952" w:rsidR="002F1FA5" w:rsidRPr="00E20D72" w:rsidRDefault="002F1FA5" w:rsidP="00C81973">
      <w:pPr>
        <w:numPr>
          <w:ilvl w:val="0"/>
          <w:numId w:val="2"/>
        </w:numPr>
        <w:spacing w:after="0" w:line="360" w:lineRule="auto"/>
        <w:ind w:hanging="720"/>
        <w:jc w:val="both"/>
        <w:rPr>
          <w:rFonts w:asciiTheme="minorHAnsi" w:eastAsia="Times New Roman" w:hAnsiTheme="minorHAnsi" w:cstheme="minorHAnsi"/>
          <w:sz w:val="24"/>
          <w:szCs w:val="24"/>
          <w:lang w:eastAsia="en-GB"/>
        </w:rPr>
      </w:pPr>
      <w:r w:rsidRPr="00E20D72">
        <w:rPr>
          <w:rFonts w:asciiTheme="minorHAnsi" w:hAnsiTheme="minorHAnsi" w:cstheme="minorHAnsi"/>
          <w:sz w:val="24"/>
          <w:szCs w:val="24"/>
        </w:rPr>
        <w:t xml:space="preserve">Apparently the identity of the “Agent” who made the submission remains a mystery to both the landowner at Seven Hills and his agent. As we see it, </w:t>
      </w:r>
      <w:r w:rsidR="003724B3" w:rsidRPr="00E20D72">
        <w:rPr>
          <w:rFonts w:asciiTheme="minorHAnsi" w:hAnsiTheme="minorHAnsi" w:cstheme="minorHAnsi"/>
          <w:sz w:val="24"/>
          <w:szCs w:val="24"/>
        </w:rPr>
        <w:t>the public o</w:t>
      </w:r>
      <w:r w:rsidRPr="00E20D72">
        <w:rPr>
          <w:rFonts w:asciiTheme="minorHAnsi" w:hAnsiTheme="minorHAnsi" w:cstheme="minorHAnsi"/>
          <w:sz w:val="24"/>
          <w:szCs w:val="24"/>
        </w:rPr>
        <w:t xml:space="preserve">ffer of the Seven Hills 90Ha site should have been very attractive given its easy access to the A14 &amp; A12 and correspondingly low infrastructure costs, along with a location next to the holding area for Operation Stack, well away from any sensitive communities. Both the 2018 Study and the Final Local Plan were silent on this matter. Even after the business park allocation, the 67Ha remaining at Seven Hills would be an ideal location for off-port operations. We trust SCDC will reveal the back-story during the </w:t>
      </w:r>
      <w:r w:rsidR="00054AEB">
        <w:rPr>
          <w:rFonts w:asciiTheme="minorHAnsi" w:hAnsiTheme="minorHAnsi" w:cstheme="minorHAnsi"/>
          <w:sz w:val="24"/>
          <w:szCs w:val="24"/>
        </w:rPr>
        <w:t>e</w:t>
      </w:r>
      <w:r w:rsidR="0041590C">
        <w:rPr>
          <w:rFonts w:asciiTheme="minorHAnsi" w:hAnsiTheme="minorHAnsi" w:cstheme="minorHAnsi"/>
          <w:sz w:val="24"/>
          <w:szCs w:val="24"/>
        </w:rPr>
        <w:t>xamination</w:t>
      </w:r>
      <w:r w:rsidRPr="00E20D72">
        <w:rPr>
          <w:rFonts w:asciiTheme="minorHAnsi" w:hAnsiTheme="minorHAnsi" w:cstheme="minorHAnsi"/>
          <w:sz w:val="24"/>
          <w:szCs w:val="24"/>
        </w:rPr>
        <w:t>.</w:t>
      </w:r>
    </w:p>
    <w:p w14:paraId="47731E91" w14:textId="77777777" w:rsidR="002F1FA5" w:rsidRPr="00E20D72" w:rsidRDefault="002F1FA5" w:rsidP="00C81973">
      <w:pPr>
        <w:pStyle w:val="ListParagraph"/>
        <w:spacing w:line="360" w:lineRule="auto"/>
        <w:jc w:val="both"/>
        <w:rPr>
          <w:rFonts w:asciiTheme="minorHAnsi" w:hAnsiTheme="minorHAnsi" w:cstheme="minorHAnsi"/>
          <w:sz w:val="24"/>
          <w:szCs w:val="24"/>
        </w:rPr>
      </w:pPr>
    </w:p>
    <w:p w14:paraId="26687CC4" w14:textId="1733020D" w:rsidR="002F1FA5" w:rsidRPr="00E20D72" w:rsidRDefault="002F1FA5" w:rsidP="00C81973">
      <w:pPr>
        <w:numPr>
          <w:ilvl w:val="0"/>
          <w:numId w:val="2"/>
        </w:numPr>
        <w:spacing w:after="0" w:line="360" w:lineRule="auto"/>
        <w:ind w:hanging="720"/>
        <w:jc w:val="both"/>
        <w:rPr>
          <w:rFonts w:asciiTheme="minorHAnsi" w:eastAsia="Times New Roman" w:hAnsiTheme="minorHAnsi" w:cstheme="minorHAnsi"/>
          <w:sz w:val="24"/>
          <w:szCs w:val="24"/>
          <w:lang w:eastAsia="en-GB"/>
        </w:rPr>
      </w:pPr>
      <w:r w:rsidRPr="00E20D72">
        <w:rPr>
          <w:rFonts w:asciiTheme="minorHAnsi" w:hAnsiTheme="minorHAnsi" w:cstheme="minorHAnsi"/>
          <w:sz w:val="24"/>
          <w:szCs w:val="24"/>
        </w:rPr>
        <w:lastRenderedPageBreak/>
        <w:t>We also simply note that the text of SCLP12.35 refer</w:t>
      </w:r>
      <w:r w:rsidR="003724B3" w:rsidRPr="00E20D72">
        <w:rPr>
          <w:rFonts w:asciiTheme="minorHAnsi" w:hAnsiTheme="minorHAnsi" w:cstheme="minorHAnsi"/>
          <w:sz w:val="24"/>
          <w:szCs w:val="24"/>
        </w:rPr>
        <w:t>s</w:t>
      </w:r>
      <w:r w:rsidRPr="00E20D72">
        <w:rPr>
          <w:rFonts w:asciiTheme="minorHAnsi" w:hAnsiTheme="minorHAnsi" w:cstheme="minorHAnsi"/>
          <w:sz w:val="24"/>
          <w:szCs w:val="24"/>
        </w:rPr>
        <w:t xml:space="preserve"> at para 12.380 to use of the Innocence</w:t>
      </w:r>
      <w:r w:rsidR="002D58D7" w:rsidRPr="00E20D72">
        <w:rPr>
          <w:rFonts w:asciiTheme="minorHAnsi" w:hAnsiTheme="minorHAnsi" w:cstheme="minorHAnsi"/>
          <w:sz w:val="24"/>
          <w:szCs w:val="24"/>
        </w:rPr>
        <w:t xml:space="preserve"> Farm</w:t>
      </w:r>
      <w:r w:rsidRPr="00E20D72">
        <w:rPr>
          <w:rFonts w:asciiTheme="minorHAnsi" w:hAnsiTheme="minorHAnsi" w:cstheme="minorHAnsi"/>
          <w:sz w:val="24"/>
          <w:szCs w:val="24"/>
        </w:rPr>
        <w:t xml:space="preserve"> site “…in exceptional circumstances…” for “…nationally significant infrastructure projects..”. This was mysterious until a recent leaflet revealed that Sizewell C </w:t>
      </w:r>
      <w:r w:rsidR="003345A6" w:rsidRPr="00E20D72">
        <w:rPr>
          <w:rFonts w:asciiTheme="minorHAnsi" w:hAnsiTheme="minorHAnsi" w:cstheme="minorHAnsi"/>
          <w:sz w:val="24"/>
          <w:szCs w:val="24"/>
        </w:rPr>
        <w:t>are</w:t>
      </w:r>
      <w:r w:rsidRPr="00E20D72">
        <w:rPr>
          <w:rFonts w:asciiTheme="minorHAnsi" w:hAnsiTheme="minorHAnsi" w:cstheme="minorHAnsi"/>
          <w:sz w:val="24"/>
          <w:szCs w:val="24"/>
        </w:rPr>
        <w:t xml:space="preserve"> evaluating a Freight Management Facility (parking for 150 HGVs en route to Sizewell) with 9.1Ha at the Seven Hills site as Option 1 and 9Ha at Innocence</w:t>
      </w:r>
      <w:r w:rsidR="002D58D7" w:rsidRPr="00E20D72">
        <w:rPr>
          <w:rFonts w:asciiTheme="minorHAnsi" w:hAnsiTheme="minorHAnsi" w:cstheme="minorHAnsi"/>
          <w:sz w:val="24"/>
          <w:szCs w:val="24"/>
        </w:rPr>
        <w:t xml:space="preserve"> Farm</w:t>
      </w:r>
      <w:r w:rsidRPr="00E20D72">
        <w:rPr>
          <w:rFonts w:asciiTheme="minorHAnsi" w:hAnsiTheme="minorHAnsi" w:cstheme="minorHAnsi"/>
          <w:sz w:val="24"/>
          <w:szCs w:val="24"/>
        </w:rPr>
        <w:t xml:space="preserve"> as Option 2. It is unclear to us why </w:t>
      </w:r>
      <w:r w:rsidR="000F2185" w:rsidRPr="00E20D72">
        <w:rPr>
          <w:rFonts w:asciiTheme="minorHAnsi" w:hAnsiTheme="minorHAnsi" w:cstheme="minorHAnsi"/>
          <w:sz w:val="24"/>
          <w:szCs w:val="24"/>
        </w:rPr>
        <w:t xml:space="preserve">Sizewell C </w:t>
      </w:r>
      <w:r w:rsidRPr="00E20D72">
        <w:rPr>
          <w:rFonts w:asciiTheme="minorHAnsi" w:hAnsiTheme="minorHAnsi" w:cstheme="minorHAnsi"/>
          <w:sz w:val="24"/>
          <w:szCs w:val="24"/>
        </w:rPr>
        <w:t>would even be considering Innocence Farm</w:t>
      </w:r>
      <w:r w:rsidR="00584B77" w:rsidRPr="00E20D72">
        <w:rPr>
          <w:rFonts w:asciiTheme="minorHAnsi" w:hAnsiTheme="minorHAnsi" w:cstheme="minorHAnsi"/>
          <w:sz w:val="24"/>
          <w:szCs w:val="24"/>
        </w:rPr>
        <w:t>,</w:t>
      </w:r>
      <w:r w:rsidRPr="00E20D72">
        <w:rPr>
          <w:rFonts w:asciiTheme="minorHAnsi" w:hAnsiTheme="minorHAnsi" w:cstheme="minorHAnsi"/>
          <w:sz w:val="24"/>
          <w:szCs w:val="24"/>
        </w:rPr>
        <w:t xml:space="preserve"> given the relative attractiveness of the site at Seven Hills as outlined above. </w:t>
      </w:r>
    </w:p>
    <w:p w14:paraId="118727C0" w14:textId="77777777" w:rsidR="002F1FA5" w:rsidRPr="00E20D72" w:rsidRDefault="002F1FA5" w:rsidP="00C81973">
      <w:pPr>
        <w:pStyle w:val="NormalWeb"/>
        <w:spacing w:before="0" w:beforeAutospacing="0" w:after="0" w:afterAutospacing="0" w:line="360" w:lineRule="auto"/>
        <w:jc w:val="both"/>
        <w:rPr>
          <w:rFonts w:asciiTheme="minorHAnsi" w:hAnsiTheme="minorHAnsi" w:cstheme="minorHAnsi"/>
        </w:rPr>
      </w:pPr>
    </w:p>
    <w:p w14:paraId="090C9B3D" w14:textId="77777777" w:rsidR="002F1FA5" w:rsidRPr="00E20D72" w:rsidRDefault="002F1FA5" w:rsidP="00C81973">
      <w:pPr>
        <w:pStyle w:val="ListParagraph"/>
        <w:numPr>
          <w:ilvl w:val="0"/>
          <w:numId w:val="4"/>
        </w:numPr>
        <w:spacing w:after="0" w:line="360" w:lineRule="auto"/>
        <w:ind w:hanging="1080"/>
        <w:jc w:val="both"/>
        <w:rPr>
          <w:rFonts w:asciiTheme="minorHAnsi" w:hAnsiTheme="minorHAnsi" w:cstheme="minorHAnsi"/>
          <w:sz w:val="24"/>
          <w:szCs w:val="24"/>
        </w:rPr>
      </w:pPr>
      <w:r w:rsidRPr="00E20D72">
        <w:rPr>
          <w:rFonts w:asciiTheme="minorHAnsi" w:hAnsiTheme="minorHAnsi" w:cstheme="minorHAnsi"/>
          <w:b/>
          <w:sz w:val="24"/>
          <w:szCs w:val="24"/>
        </w:rPr>
        <w:t>Justification</w:t>
      </w:r>
      <w:r w:rsidRPr="00E20D72">
        <w:rPr>
          <w:rFonts w:asciiTheme="minorHAnsi" w:hAnsiTheme="minorHAnsi" w:cstheme="minorHAnsi"/>
          <w:sz w:val="24"/>
          <w:szCs w:val="24"/>
        </w:rPr>
        <w:t xml:space="preserve"> </w:t>
      </w:r>
    </w:p>
    <w:p w14:paraId="43AC2643" w14:textId="77777777" w:rsidR="002F1FA5" w:rsidRPr="00E20D72" w:rsidRDefault="002F1FA5" w:rsidP="00C81973">
      <w:pPr>
        <w:spacing w:after="0" w:line="360" w:lineRule="auto"/>
        <w:jc w:val="both"/>
        <w:rPr>
          <w:rFonts w:asciiTheme="minorHAnsi" w:hAnsiTheme="minorHAnsi" w:cstheme="minorHAnsi"/>
          <w:sz w:val="24"/>
          <w:szCs w:val="24"/>
        </w:rPr>
      </w:pPr>
    </w:p>
    <w:p w14:paraId="3E44AD89" w14:textId="0D7D4357" w:rsidR="002F1FA5" w:rsidRPr="00E20D72" w:rsidRDefault="002F1FA5" w:rsidP="00C81973">
      <w:pPr>
        <w:numPr>
          <w:ilvl w:val="0"/>
          <w:numId w:val="2"/>
        </w:numPr>
        <w:spacing w:after="0" w:line="360" w:lineRule="auto"/>
        <w:ind w:hanging="720"/>
        <w:jc w:val="both"/>
        <w:rPr>
          <w:rFonts w:asciiTheme="minorHAnsi" w:hAnsiTheme="minorHAnsi" w:cstheme="minorHAnsi"/>
          <w:sz w:val="24"/>
          <w:szCs w:val="24"/>
        </w:rPr>
      </w:pPr>
      <w:r w:rsidRPr="00E20D72">
        <w:rPr>
          <w:rFonts w:asciiTheme="minorHAnsi" w:hAnsiTheme="minorHAnsi" w:cstheme="minorHAnsi"/>
          <w:sz w:val="24"/>
          <w:szCs w:val="24"/>
        </w:rPr>
        <w:t xml:space="preserve">It is here we believe SCLP12.35 to be at its weakest – the case is far from robust and credible. The attached paper shows how, in numerous ways, the 2018 Port Study, the sole </w:t>
      </w:r>
      <w:r w:rsidR="00984E41" w:rsidRPr="00E20D72">
        <w:rPr>
          <w:rFonts w:asciiTheme="minorHAnsi" w:hAnsiTheme="minorHAnsi" w:cstheme="minorHAnsi"/>
          <w:sz w:val="24"/>
          <w:szCs w:val="24"/>
        </w:rPr>
        <w:t xml:space="preserve">rationale for </w:t>
      </w:r>
      <w:r w:rsidRPr="00E20D72">
        <w:rPr>
          <w:rFonts w:asciiTheme="minorHAnsi" w:hAnsiTheme="minorHAnsi" w:cstheme="minorHAnsi"/>
          <w:sz w:val="24"/>
          <w:szCs w:val="24"/>
        </w:rPr>
        <w:t xml:space="preserve">the Policy, fails to establish a need for any </w:t>
      </w:r>
      <w:r w:rsidR="002D58D7" w:rsidRPr="00E20D72">
        <w:rPr>
          <w:rFonts w:asciiTheme="minorHAnsi" w:hAnsiTheme="minorHAnsi" w:cstheme="minorHAnsi"/>
          <w:sz w:val="24"/>
          <w:szCs w:val="24"/>
        </w:rPr>
        <w:t xml:space="preserve">more Port </w:t>
      </w:r>
      <w:r w:rsidRPr="00E20D72">
        <w:rPr>
          <w:rFonts w:asciiTheme="minorHAnsi" w:hAnsiTheme="minorHAnsi" w:cstheme="minorHAnsi"/>
          <w:sz w:val="24"/>
          <w:szCs w:val="24"/>
        </w:rPr>
        <w:t>land</w:t>
      </w:r>
      <w:r w:rsidR="002D58D7" w:rsidRPr="00E20D72">
        <w:rPr>
          <w:rFonts w:asciiTheme="minorHAnsi" w:hAnsiTheme="minorHAnsi" w:cstheme="minorHAnsi"/>
          <w:sz w:val="24"/>
          <w:szCs w:val="24"/>
        </w:rPr>
        <w:t xml:space="preserve"> at all</w:t>
      </w:r>
      <w:r w:rsidR="000F2185" w:rsidRPr="00E20D72">
        <w:rPr>
          <w:rFonts w:asciiTheme="minorHAnsi" w:hAnsiTheme="minorHAnsi" w:cstheme="minorHAnsi"/>
          <w:sz w:val="24"/>
          <w:szCs w:val="24"/>
        </w:rPr>
        <w:t>,</w:t>
      </w:r>
      <w:r w:rsidRPr="00E20D72">
        <w:rPr>
          <w:rFonts w:asciiTheme="minorHAnsi" w:hAnsiTheme="minorHAnsi" w:cstheme="minorHAnsi"/>
          <w:sz w:val="24"/>
          <w:szCs w:val="24"/>
        </w:rPr>
        <w:t xml:space="preserve"> </w:t>
      </w:r>
      <w:r w:rsidR="002D58D7" w:rsidRPr="00E20D72">
        <w:rPr>
          <w:rFonts w:asciiTheme="minorHAnsi" w:hAnsiTheme="minorHAnsi" w:cstheme="minorHAnsi"/>
          <w:sz w:val="24"/>
          <w:szCs w:val="24"/>
        </w:rPr>
        <w:t>including</w:t>
      </w:r>
      <w:r w:rsidRPr="00E20D72">
        <w:rPr>
          <w:rFonts w:asciiTheme="minorHAnsi" w:hAnsiTheme="minorHAnsi" w:cstheme="minorHAnsi"/>
          <w:sz w:val="24"/>
          <w:szCs w:val="24"/>
        </w:rPr>
        <w:t xml:space="preserve"> Innocence Farm. </w:t>
      </w:r>
      <w:r w:rsidR="002D58D7" w:rsidRPr="00E20D72">
        <w:rPr>
          <w:rFonts w:asciiTheme="minorHAnsi" w:hAnsiTheme="minorHAnsi" w:cstheme="minorHAnsi"/>
          <w:sz w:val="24"/>
          <w:szCs w:val="24"/>
        </w:rPr>
        <w:t xml:space="preserve">Notable </w:t>
      </w:r>
      <w:r w:rsidRPr="00E20D72">
        <w:rPr>
          <w:rFonts w:asciiTheme="minorHAnsi" w:hAnsiTheme="minorHAnsi" w:cstheme="minorHAnsi"/>
          <w:sz w:val="24"/>
          <w:szCs w:val="24"/>
        </w:rPr>
        <w:t xml:space="preserve">deficiencies </w:t>
      </w:r>
      <w:r w:rsidR="002D58D7" w:rsidRPr="00E20D72">
        <w:rPr>
          <w:rFonts w:asciiTheme="minorHAnsi" w:hAnsiTheme="minorHAnsi" w:cstheme="minorHAnsi"/>
          <w:sz w:val="24"/>
          <w:szCs w:val="24"/>
        </w:rPr>
        <w:t>focus on the</w:t>
      </w:r>
      <w:r w:rsidRPr="00E20D72">
        <w:rPr>
          <w:rFonts w:asciiTheme="minorHAnsi" w:hAnsiTheme="minorHAnsi" w:cstheme="minorHAnsi"/>
          <w:sz w:val="24"/>
          <w:szCs w:val="24"/>
        </w:rPr>
        <w:t xml:space="preserve"> assumptions regarding growth, market share, transhipment rates, road-rail splits, conversion to land requirements, Port efficiencies, empty v laden containers, site characteristics and HGV parking.</w:t>
      </w:r>
    </w:p>
    <w:p w14:paraId="6BC22866" w14:textId="77777777" w:rsidR="002F1FA5" w:rsidRPr="00E20D72" w:rsidRDefault="002F1FA5" w:rsidP="00C81973">
      <w:pPr>
        <w:spacing w:after="0" w:line="360" w:lineRule="auto"/>
        <w:ind w:left="720"/>
        <w:jc w:val="both"/>
        <w:rPr>
          <w:rFonts w:asciiTheme="minorHAnsi" w:hAnsiTheme="minorHAnsi" w:cstheme="minorHAnsi"/>
          <w:sz w:val="24"/>
          <w:szCs w:val="24"/>
        </w:rPr>
      </w:pPr>
    </w:p>
    <w:p w14:paraId="1294C3C6" w14:textId="4011B888" w:rsidR="002F1FA5" w:rsidRPr="00EC1A75" w:rsidRDefault="002F1FA5" w:rsidP="00C81973">
      <w:pPr>
        <w:numPr>
          <w:ilvl w:val="0"/>
          <w:numId w:val="2"/>
        </w:numPr>
        <w:spacing w:after="0" w:line="360" w:lineRule="auto"/>
        <w:ind w:hanging="720"/>
        <w:jc w:val="both"/>
        <w:rPr>
          <w:rFonts w:asciiTheme="minorHAnsi" w:hAnsiTheme="minorHAnsi" w:cstheme="minorHAnsi"/>
          <w:sz w:val="24"/>
          <w:szCs w:val="24"/>
        </w:rPr>
      </w:pPr>
      <w:r w:rsidRPr="00E20D72">
        <w:rPr>
          <w:rFonts w:asciiTheme="minorHAnsi" w:hAnsiTheme="minorHAnsi" w:cstheme="minorHAnsi"/>
          <w:sz w:val="24"/>
          <w:szCs w:val="24"/>
        </w:rPr>
        <w:t xml:space="preserve">Most significantly, the Study itself undermines the 67Ha claimed in SCLP12.35 when the Executive Summary refers to an existing pipeline of over 67Ha. Added to that, the 2018 Port Study explicitly excluded lorry parking which now features </w:t>
      </w:r>
      <w:r w:rsidRPr="00EC1A75">
        <w:rPr>
          <w:rFonts w:asciiTheme="minorHAnsi" w:hAnsiTheme="minorHAnsi" w:cstheme="minorHAnsi"/>
          <w:sz w:val="24"/>
          <w:szCs w:val="24"/>
        </w:rPr>
        <w:t>prominently in SCLP: 12.35.</w:t>
      </w:r>
    </w:p>
    <w:p w14:paraId="70273A00" w14:textId="77777777" w:rsidR="002F1FA5" w:rsidRPr="00EC1A75" w:rsidRDefault="002F1FA5" w:rsidP="00C81973">
      <w:pPr>
        <w:spacing w:after="0" w:line="360" w:lineRule="auto"/>
        <w:jc w:val="both"/>
        <w:rPr>
          <w:rFonts w:asciiTheme="minorHAnsi" w:hAnsiTheme="minorHAnsi" w:cstheme="minorHAnsi"/>
          <w:sz w:val="24"/>
          <w:szCs w:val="24"/>
        </w:rPr>
      </w:pPr>
    </w:p>
    <w:p w14:paraId="2BE8FF3F" w14:textId="77777777" w:rsidR="002F1FA5" w:rsidRPr="00EC1A75" w:rsidRDefault="002F1FA5" w:rsidP="00C81973">
      <w:pPr>
        <w:pStyle w:val="ListParagraph"/>
        <w:numPr>
          <w:ilvl w:val="0"/>
          <w:numId w:val="4"/>
        </w:numPr>
        <w:spacing w:after="0" w:line="360" w:lineRule="auto"/>
        <w:ind w:hanging="1080"/>
        <w:jc w:val="both"/>
        <w:rPr>
          <w:rFonts w:asciiTheme="minorHAnsi" w:hAnsiTheme="minorHAnsi" w:cstheme="minorHAnsi"/>
          <w:sz w:val="24"/>
          <w:szCs w:val="24"/>
        </w:rPr>
      </w:pPr>
      <w:r w:rsidRPr="00EC1A75">
        <w:rPr>
          <w:rFonts w:asciiTheme="minorHAnsi" w:hAnsiTheme="minorHAnsi" w:cstheme="minorHAnsi"/>
          <w:b/>
          <w:sz w:val="24"/>
          <w:szCs w:val="24"/>
        </w:rPr>
        <w:t>Effectiveness</w:t>
      </w:r>
    </w:p>
    <w:p w14:paraId="2494E76F" w14:textId="77777777" w:rsidR="002F1FA5" w:rsidRPr="00EC1A75" w:rsidRDefault="002F1FA5" w:rsidP="00C81973">
      <w:pPr>
        <w:spacing w:after="0" w:line="360" w:lineRule="auto"/>
        <w:jc w:val="both"/>
        <w:rPr>
          <w:rFonts w:asciiTheme="minorHAnsi" w:hAnsiTheme="minorHAnsi" w:cstheme="minorHAnsi"/>
          <w:sz w:val="24"/>
          <w:szCs w:val="24"/>
        </w:rPr>
      </w:pPr>
    </w:p>
    <w:p w14:paraId="52F0C719" w14:textId="5225CDC2" w:rsidR="002F1FA5" w:rsidRPr="00EC1A75" w:rsidRDefault="002F1FA5" w:rsidP="00C81973">
      <w:pPr>
        <w:numPr>
          <w:ilvl w:val="0"/>
          <w:numId w:val="2"/>
        </w:numPr>
        <w:spacing w:after="0" w:line="360" w:lineRule="auto"/>
        <w:ind w:hanging="720"/>
        <w:jc w:val="both"/>
        <w:rPr>
          <w:rFonts w:asciiTheme="minorHAnsi" w:hAnsiTheme="minorHAnsi" w:cstheme="minorHAnsi"/>
          <w:sz w:val="24"/>
          <w:szCs w:val="24"/>
        </w:rPr>
      </w:pPr>
      <w:r w:rsidRPr="00EC1A75">
        <w:rPr>
          <w:rFonts w:asciiTheme="minorHAnsi" w:hAnsiTheme="minorHAnsi" w:cstheme="minorHAnsi"/>
          <w:sz w:val="24"/>
          <w:szCs w:val="24"/>
        </w:rPr>
        <w:t xml:space="preserve">Here again we consider SCLP12.35 to be seriously deficient. </w:t>
      </w:r>
      <w:r w:rsidR="00293B6D" w:rsidRPr="00EC1A75">
        <w:rPr>
          <w:rFonts w:asciiTheme="minorHAnsi" w:hAnsiTheme="minorHAnsi" w:cstheme="minorHAnsi"/>
          <w:sz w:val="24"/>
          <w:szCs w:val="24"/>
        </w:rPr>
        <w:t xml:space="preserve">The Final Draft Plan identifies </w:t>
      </w:r>
      <w:r w:rsidR="00293B6D" w:rsidRPr="00EC1A75">
        <w:rPr>
          <w:rFonts w:asciiTheme="minorHAnsi" w:hAnsiTheme="minorHAnsi" w:cstheme="minorHAnsi"/>
          <w:iCs/>
          <w:sz w:val="24"/>
          <w:szCs w:val="24"/>
        </w:rPr>
        <w:t>a Viability Report produced by Aspinall Verdi in January 2019 (</w:t>
      </w:r>
      <w:r w:rsidR="00293B6D" w:rsidRPr="00EC1A75">
        <w:rPr>
          <w:rFonts w:asciiTheme="minorHAnsi" w:hAnsiTheme="minorHAnsi" w:cstheme="minorHAnsi"/>
          <w:sz w:val="24"/>
          <w:szCs w:val="24"/>
        </w:rPr>
        <w:t>the final document in Appendix L - a list of “Evidence Base Documents” – page 535).</w:t>
      </w:r>
      <w:r w:rsidR="0096382E" w:rsidRPr="00EC1A75">
        <w:rPr>
          <w:rFonts w:asciiTheme="minorHAnsi" w:hAnsiTheme="minorHAnsi" w:cstheme="minorHAnsi"/>
          <w:iCs/>
          <w:sz w:val="24"/>
          <w:szCs w:val="24"/>
        </w:rPr>
        <w:t xml:space="preserve"> </w:t>
      </w:r>
      <w:r w:rsidR="003345A6" w:rsidRPr="00EC1A75">
        <w:rPr>
          <w:rFonts w:asciiTheme="minorHAnsi" w:hAnsiTheme="minorHAnsi" w:cstheme="minorHAnsi"/>
          <w:iCs/>
          <w:sz w:val="24"/>
          <w:szCs w:val="24"/>
        </w:rPr>
        <w:t>Strangely, given what it must have cost</w:t>
      </w:r>
      <w:r w:rsidR="002D58D7" w:rsidRPr="00EC1A75">
        <w:rPr>
          <w:rFonts w:asciiTheme="minorHAnsi" w:hAnsiTheme="minorHAnsi" w:cstheme="minorHAnsi"/>
          <w:iCs/>
          <w:sz w:val="24"/>
          <w:szCs w:val="24"/>
        </w:rPr>
        <w:t xml:space="preserve"> to produce</w:t>
      </w:r>
      <w:r w:rsidR="003345A6" w:rsidRPr="00EC1A75">
        <w:rPr>
          <w:rFonts w:asciiTheme="minorHAnsi" w:hAnsiTheme="minorHAnsi" w:cstheme="minorHAnsi"/>
          <w:iCs/>
          <w:sz w:val="24"/>
          <w:szCs w:val="24"/>
        </w:rPr>
        <w:t>, t</w:t>
      </w:r>
      <w:r w:rsidR="00293B6D" w:rsidRPr="00EC1A75">
        <w:rPr>
          <w:rFonts w:asciiTheme="minorHAnsi" w:hAnsiTheme="minorHAnsi" w:cstheme="minorHAnsi"/>
          <w:iCs/>
          <w:sz w:val="24"/>
          <w:szCs w:val="24"/>
        </w:rPr>
        <w:t>here is no mention of it anywhere else in the Plan</w:t>
      </w:r>
      <w:r w:rsidR="0096382E" w:rsidRPr="00EC1A75">
        <w:rPr>
          <w:rFonts w:asciiTheme="minorHAnsi" w:hAnsiTheme="minorHAnsi" w:cstheme="minorHAnsi"/>
          <w:iCs/>
          <w:sz w:val="24"/>
          <w:szCs w:val="24"/>
        </w:rPr>
        <w:t>. This Report ma</w:t>
      </w:r>
      <w:r w:rsidR="004A14C3" w:rsidRPr="00EC1A75">
        <w:rPr>
          <w:rFonts w:asciiTheme="minorHAnsi" w:hAnsiTheme="minorHAnsi" w:cstheme="minorHAnsi"/>
          <w:iCs/>
          <w:sz w:val="24"/>
          <w:szCs w:val="24"/>
        </w:rPr>
        <w:t>kes</w:t>
      </w:r>
      <w:r w:rsidR="0096382E" w:rsidRPr="00EC1A75">
        <w:rPr>
          <w:rFonts w:asciiTheme="minorHAnsi" w:hAnsiTheme="minorHAnsi" w:cstheme="minorHAnsi"/>
          <w:iCs/>
          <w:sz w:val="24"/>
          <w:szCs w:val="24"/>
        </w:rPr>
        <w:t xml:space="preserve"> clear </w:t>
      </w:r>
      <w:r w:rsidR="004A14C3" w:rsidRPr="00EC1A75">
        <w:rPr>
          <w:rFonts w:asciiTheme="minorHAnsi" w:hAnsiTheme="minorHAnsi" w:cstheme="minorHAnsi"/>
          <w:iCs/>
          <w:sz w:val="24"/>
          <w:szCs w:val="24"/>
        </w:rPr>
        <w:t xml:space="preserve">that </w:t>
      </w:r>
      <w:r w:rsidR="0096382E" w:rsidRPr="00EC1A75">
        <w:rPr>
          <w:rFonts w:asciiTheme="minorHAnsi" w:hAnsiTheme="minorHAnsi" w:cstheme="minorHAnsi"/>
          <w:iCs/>
          <w:sz w:val="24"/>
          <w:szCs w:val="24"/>
        </w:rPr>
        <w:t xml:space="preserve">SCDC’s employment proposals, of which </w:t>
      </w:r>
      <w:r w:rsidR="0096382E" w:rsidRPr="00EC1A75">
        <w:rPr>
          <w:rFonts w:asciiTheme="minorHAnsi" w:hAnsiTheme="minorHAnsi" w:cstheme="minorHAnsi"/>
          <w:iCs/>
          <w:sz w:val="24"/>
          <w:szCs w:val="24"/>
        </w:rPr>
        <w:lastRenderedPageBreak/>
        <w:t>Innocence Farm forms the major part, are unviable (</w:t>
      </w:r>
      <w:r w:rsidR="000F2185" w:rsidRPr="00EC1A75">
        <w:rPr>
          <w:rFonts w:asciiTheme="minorHAnsi" w:hAnsiTheme="minorHAnsi" w:cstheme="minorHAnsi"/>
          <w:iCs/>
          <w:sz w:val="24"/>
          <w:szCs w:val="24"/>
        </w:rPr>
        <w:t xml:space="preserve">Report </w:t>
      </w:r>
      <w:r w:rsidR="0096382E" w:rsidRPr="00EC1A75">
        <w:rPr>
          <w:rFonts w:asciiTheme="minorHAnsi" w:hAnsiTheme="minorHAnsi" w:cstheme="minorHAnsi"/>
          <w:iCs/>
          <w:sz w:val="24"/>
          <w:szCs w:val="24"/>
        </w:rPr>
        <w:t>Executive Summary). Although, much of what would be needed to render the site suited to the activities intended is yet to be determined, site access for any purpose involving any significant movement of road / rail traffic, would not be viable.  It can be said, safely, that the cost of creating a road or rail access to Innocence Farm, in any circumstances, would not be viable financially and there is no evidence to suggest it would be permitted by Highways England or Network Rail. Even were it allowed, it is impossible to assess whether the necessary infrastructure could be provided, by whom and at what cost.</w:t>
      </w:r>
    </w:p>
    <w:p w14:paraId="0F53762E" w14:textId="77777777" w:rsidR="002D58D7" w:rsidRPr="00EC1A75" w:rsidRDefault="002D58D7" w:rsidP="002D58D7">
      <w:pPr>
        <w:spacing w:after="0" w:line="360" w:lineRule="auto"/>
        <w:ind w:left="720"/>
        <w:jc w:val="both"/>
        <w:rPr>
          <w:rFonts w:asciiTheme="minorHAnsi" w:hAnsiTheme="minorHAnsi" w:cstheme="minorHAnsi"/>
          <w:sz w:val="24"/>
          <w:szCs w:val="24"/>
        </w:rPr>
      </w:pPr>
    </w:p>
    <w:p w14:paraId="5DBA56B2" w14:textId="77777777" w:rsidR="00B65F52" w:rsidRDefault="00F5223C" w:rsidP="00B65F52">
      <w:pPr>
        <w:numPr>
          <w:ilvl w:val="0"/>
          <w:numId w:val="2"/>
        </w:numPr>
        <w:spacing w:after="0" w:line="360" w:lineRule="auto"/>
        <w:ind w:hanging="720"/>
        <w:jc w:val="both"/>
        <w:rPr>
          <w:rFonts w:asciiTheme="minorHAnsi" w:hAnsiTheme="minorHAnsi" w:cstheme="minorHAnsi"/>
          <w:sz w:val="24"/>
          <w:szCs w:val="24"/>
        </w:rPr>
      </w:pPr>
      <w:r w:rsidRPr="004278AE">
        <w:rPr>
          <w:rFonts w:asciiTheme="minorHAnsi" w:hAnsiTheme="minorHAnsi" w:cstheme="minorHAnsi"/>
          <w:sz w:val="24"/>
          <w:szCs w:val="24"/>
        </w:rPr>
        <w:t>A</w:t>
      </w:r>
      <w:r w:rsidR="002D58D7" w:rsidRPr="004278AE">
        <w:rPr>
          <w:rFonts w:asciiTheme="minorHAnsi" w:hAnsiTheme="minorHAnsi" w:cstheme="minorHAnsi"/>
          <w:sz w:val="24"/>
          <w:szCs w:val="24"/>
        </w:rPr>
        <w:t>t face value, it would appear t</w:t>
      </w:r>
      <w:r w:rsidR="002F1FA5" w:rsidRPr="004278AE">
        <w:rPr>
          <w:rFonts w:asciiTheme="minorHAnsi" w:hAnsiTheme="minorHAnsi" w:cstheme="minorHAnsi"/>
          <w:sz w:val="24"/>
          <w:szCs w:val="24"/>
        </w:rPr>
        <w:t xml:space="preserve">he landowner seeks </w:t>
      </w:r>
      <w:r w:rsidR="002D58D7" w:rsidRPr="004278AE">
        <w:rPr>
          <w:rFonts w:asciiTheme="minorHAnsi" w:hAnsiTheme="minorHAnsi" w:cstheme="minorHAnsi"/>
          <w:sz w:val="24"/>
          <w:szCs w:val="24"/>
        </w:rPr>
        <w:t>only</w:t>
      </w:r>
      <w:r w:rsidR="002F1FA5" w:rsidRPr="004278AE">
        <w:rPr>
          <w:rFonts w:asciiTheme="minorHAnsi" w:hAnsiTheme="minorHAnsi" w:cstheme="minorHAnsi"/>
          <w:sz w:val="24"/>
          <w:szCs w:val="24"/>
        </w:rPr>
        <w:t xml:space="preserve"> the allocation. There is no evidence that they, or any other party, is willing to invest either in the site itself or in the necessary infrastructure. A site at Innocence Farm has been on the market with Bidwells since 2015 with no takers. The over-riding objective would appear to be to achieve the allocation and worry about the rest later, trusting that the mere mention of “The Port” will sweep away all obstacles.</w:t>
      </w:r>
    </w:p>
    <w:p w14:paraId="509CC840" w14:textId="77777777" w:rsidR="00B65F52" w:rsidRDefault="00B65F52" w:rsidP="00B65F52">
      <w:pPr>
        <w:pStyle w:val="ListParagraph"/>
      </w:pPr>
    </w:p>
    <w:p w14:paraId="186D1373" w14:textId="77777777" w:rsidR="00B65F52" w:rsidRDefault="00B65F52" w:rsidP="00B65F52">
      <w:pPr>
        <w:numPr>
          <w:ilvl w:val="0"/>
          <w:numId w:val="2"/>
        </w:numPr>
        <w:spacing w:after="0" w:line="360" w:lineRule="auto"/>
        <w:ind w:hanging="720"/>
        <w:jc w:val="both"/>
        <w:rPr>
          <w:rFonts w:asciiTheme="minorHAnsi" w:hAnsiTheme="minorHAnsi" w:cstheme="minorHAnsi"/>
          <w:sz w:val="24"/>
          <w:szCs w:val="24"/>
        </w:rPr>
      </w:pPr>
      <w:r>
        <w:t xml:space="preserve">It would appear an </w:t>
      </w:r>
      <w:proofErr w:type="spellStart"/>
      <w:r>
        <w:t>Achieveability</w:t>
      </w:r>
      <w:proofErr w:type="spellEnd"/>
      <w:r>
        <w:t xml:space="preserve"> Test was carried out to identify ways of ‘Overcoming Constraints’ and the Local Plan then </w:t>
      </w:r>
      <w:proofErr w:type="gramStart"/>
      <w:r>
        <w:t>stated</w:t>
      </w:r>
      <w:proofErr w:type="gramEnd"/>
      <w:r>
        <w:t xml:space="preserve"> “</w:t>
      </w:r>
      <w:r w:rsidRPr="00B65F52">
        <w:rPr>
          <w:i/>
          <w:iCs/>
        </w:rPr>
        <w:t xml:space="preserve">Previous Engineering Assessment concludes site can be satisfactorily developed’. </w:t>
      </w:r>
    </w:p>
    <w:p w14:paraId="2B8FCF70" w14:textId="77777777" w:rsidR="00B65F52" w:rsidRDefault="00B65F52" w:rsidP="00B65F52">
      <w:pPr>
        <w:pStyle w:val="ListParagraph"/>
      </w:pPr>
    </w:p>
    <w:p w14:paraId="6CFCFA8D" w14:textId="69FFE124" w:rsidR="00B65F52" w:rsidRPr="00B65F52" w:rsidRDefault="00B65F52" w:rsidP="00B65F52">
      <w:pPr>
        <w:numPr>
          <w:ilvl w:val="0"/>
          <w:numId w:val="2"/>
        </w:numPr>
        <w:spacing w:after="0" w:line="360" w:lineRule="auto"/>
        <w:ind w:hanging="720"/>
        <w:jc w:val="both"/>
        <w:rPr>
          <w:rFonts w:asciiTheme="minorHAnsi" w:hAnsiTheme="minorHAnsi" w:cstheme="minorHAnsi"/>
          <w:sz w:val="24"/>
          <w:szCs w:val="24"/>
        </w:rPr>
      </w:pPr>
      <w:r>
        <w:t>SCDC appear to have copied this conclusion and used it to inform the Local Plan without testing the conclusion for themselves</w:t>
      </w:r>
    </w:p>
    <w:p w14:paraId="54383C73" w14:textId="77777777" w:rsidR="004278AE" w:rsidRDefault="004278AE" w:rsidP="004278AE">
      <w:pPr>
        <w:pStyle w:val="ListParagraph"/>
        <w:rPr>
          <w:rFonts w:asciiTheme="minorHAnsi" w:hAnsiTheme="minorHAnsi" w:cstheme="minorHAnsi"/>
          <w:b/>
          <w:sz w:val="24"/>
          <w:szCs w:val="24"/>
        </w:rPr>
      </w:pPr>
    </w:p>
    <w:p w14:paraId="1125BE3D" w14:textId="6B2F9BCF" w:rsidR="00F77ED6" w:rsidRPr="004278AE" w:rsidRDefault="00F77ED6" w:rsidP="00F77ED6">
      <w:pPr>
        <w:spacing w:after="0" w:line="360" w:lineRule="auto"/>
        <w:jc w:val="both"/>
        <w:rPr>
          <w:rFonts w:asciiTheme="minorHAnsi" w:hAnsiTheme="minorHAnsi" w:cstheme="minorHAnsi"/>
          <w:sz w:val="24"/>
          <w:szCs w:val="24"/>
        </w:rPr>
      </w:pPr>
      <w:r>
        <w:rPr>
          <w:rFonts w:asciiTheme="minorHAnsi" w:hAnsiTheme="minorHAnsi" w:cstheme="minorHAnsi"/>
          <w:b/>
          <w:sz w:val="24"/>
          <w:szCs w:val="24"/>
        </w:rPr>
        <w:t xml:space="preserve">Iv </w:t>
      </w:r>
      <w:r>
        <w:rPr>
          <w:rFonts w:asciiTheme="minorHAnsi" w:hAnsiTheme="minorHAnsi" w:cstheme="minorHAnsi"/>
          <w:b/>
          <w:sz w:val="24"/>
          <w:szCs w:val="24"/>
        </w:rPr>
        <w:tab/>
        <w:t xml:space="preserve">Consistent </w:t>
      </w:r>
      <w:proofErr w:type="gramStart"/>
      <w:r>
        <w:rPr>
          <w:rFonts w:asciiTheme="minorHAnsi" w:hAnsiTheme="minorHAnsi" w:cstheme="minorHAnsi"/>
          <w:b/>
          <w:sz w:val="24"/>
          <w:szCs w:val="24"/>
        </w:rPr>
        <w:t>With</w:t>
      </w:r>
      <w:proofErr w:type="gramEnd"/>
      <w:r>
        <w:rPr>
          <w:rFonts w:asciiTheme="minorHAnsi" w:hAnsiTheme="minorHAnsi" w:cstheme="minorHAnsi"/>
          <w:b/>
          <w:sz w:val="24"/>
          <w:szCs w:val="24"/>
        </w:rPr>
        <w:t xml:space="preserve"> National Planning Policy</w:t>
      </w:r>
    </w:p>
    <w:p w14:paraId="19A4A2A4" w14:textId="77777777" w:rsidR="002F1FA5" w:rsidRPr="00EC1A75" w:rsidRDefault="002F1FA5" w:rsidP="00C81973">
      <w:pPr>
        <w:spacing w:after="0" w:line="360" w:lineRule="auto"/>
        <w:ind w:left="360"/>
        <w:jc w:val="both"/>
        <w:rPr>
          <w:rFonts w:asciiTheme="minorHAnsi" w:hAnsiTheme="minorHAnsi" w:cstheme="minorHAnsi"/>
          <w:b/>
          <w:sz w:val="24"/>
          <w:szCs w:val="24"/>
        </w:rPr>
      </w:pPr>
    </w:p>
    <w:p w14:paraId="5C002D7E" w14:textId="16FEDA1E" w:rsidR="002F1FA5" w:rsidRPr="00EC1A75" w:rsidRDefault="002F1FA5" w:rsidP="00C81973">
      <w:pPr>
        <w:numPr>
          <w:ilvl w:val="0"/>
          <w:numId w:val="2"/>
        </w:numPr>
        <w:spacing w:after="0" w:line="360" w:lineRule="auto"/>
        <w:ind w:hanging="720"/>
        <w:jc w:val="both"/>
        <w:rPr>
          <w:rFonts w:asciiTheme="minorHAnsi" w:hAnsiTheme="minorHAnsi" w:cstheme="minorHAnsi"/>
          <w:sz w:val="24"/>
          <w:szCs w:val="24"/>
        </w:rPr>
      </w:pPr>
      <w:r w:rsidRPr="00EC1A75">
        <w:rPr>
          <w:rFonts w:asciiTheme="minorHAnsi" w:hAnsiTheme="minorHAnsi" w:cstheme="minorHAnsi"/>
          <w:sz w:val="24"/>
          <w:szCs w:val="24"/>
        </w:rPr>
        <w:t xml:space="preserve">There is no clear or convincing case to grant an employment allocation at this green-field site. Even the prime document under-pinning the proposal makes it clear that </w:t>
      </w:r>
      <w:proofErr w:type="gramStart"/>
      <w:r w:rsidRPr="00EC1A75">
        <w:rPr>
          <w:rFonts w:asciiTheme="minorHAnsi" w:hAnsiTheme="minorHAnsi" w:cstheme="minorHAnsi"/>
          <w:sz w:val="24"/>
          <w:szCs w:val="24"/>
        </w:rPr>
        <w:t>sufficient</w:t>
      </w:r>
      <w:proofErr w:type="gramEnd"/>
      <w:r w:rsidRPr="00EC1A75">
        <w:rPr>
          <w:rFonts w:asciiTheme="minorHAnsi" w:hAnsiTheme="minorHAnsi" w:cstheme="minorHAnsi"/>
          <w:sz w:val="24"/>
          <w:szCs w:val="24"/>
        </w:rPr>
        <w:t xml:space="preserve"> land is already in the pipe-line.  There is no evidence of any detriment to the Port should this Policy be struck out. Were such a threat genuinely to exist, then the Port itself would </w:t>
      </w:r>
      <w:proofErr w:type="gramStart"/>
      <w:r w:rsidRPr="00EC1A75">
        <w:rPr>
          <w:rFonts w:asciiTheme="minorHAnsi" w:hAnsiTheme="minorHAnsi" w:cstheme="minorHAnsi"/>
          <w:sz w:val="24"/>
          <w:szCs w:val="24"/>
        </w:rPr>
        <w:t>take action</w:t>
      </w:r>
      <w:proofErr w:type="gramEnd"/>
      <w:r w:rsidRPr="00EC1A75">
        <w:rPr>
          <w:rFonts w:asciiTheme="minorHAnsi" w:hAnsiTheme="minorHAnsi" w:cstheme="minorHAnsi"/>
          <w:sz w:val="24"/>
          <w:szCs w:val="24"/>
        </w:rPr>
        <w:t xml:space="preserve">. Consequently SCLP12.35. is not sustainable either </w:t>
      </w:r>
      <w:r w:rsidR="005D1F41" w:rsidRPr="00EC1A75">
        <w:rPr>
          <w:rFonts w:asciiTheme="minorHAnsi" w:hAnsiTheme="minorHAnsi" w:cstheme="minorHAnsi"/>
          <w:sz w:val="24"/>
          <w:szCs w:val="24"/>
        </w:rPr>
        <w:t>by</w:t>
      </w:r>
      <w:r w:rsidRPr="00EC1A75">
        <w:rPr>
          <w:rFonts w:asciiTheme="minorHAnsi" w:hAnsiTheme="minorHAnsi" w:cstheme="minorHAnsi"/>
          <w:sz w:val="24"/>
          <w:szCs w:val="24"/>
        </w:rPr>
        <w:t xml:space="preserve"> itself or in </w:t>
      </w:r>
      <w:r w:rsidR="005D1F41" w:rsidRPr="00EC1A75">
        <w:rPr>
          <w:rFonts w:asciiTheme="minorHAnsi" w:hAnsiTheme="minorHAnsi" w:cstheme="minorHAnsi"/>
          <w:sz w:val="24"/>
          <w:szCs w:val="24"/>
        </w:rPr>
        <w:t>the context of the</w:t>
      </w:r>
      <w:r w:rsidRPr="00EC1A75">
        <w:rPr>
          <w:rFonts w:asciiTheme="minorHAnsi" w:hAnsiTheme="minorHAnsi" w:cstheme="minorHAnsi"/>
          <w:sz w:val="24"/>
          <w:szCs w:val="24"/>
        </w:rPr>
        <w:t xml:space="preserve"> alternatives.</w:t>
      </w:r>
    </w:p>
    <w:p w14:paraId="0DDE124B" w14:textId="77777777" w:rsidR="002F1FA5" w:rsidRPr="00EC1A75" w:rsidRDefault="002F1FA5" w:rsidP="00C81973">
      <w:pPr>
        <w:spacing w:after="0" w:line="360" w:lineRule="auto"/>
        <w:ind w:left="720"/>
        <w:jc w:val="both"/>
        <w:rPr>
          <w:rFonts w:asciiTheme="minorHAnsi" w:hAnsiTheme="minorHAnsi" w:cstheme="minorHAnsi"/>
          <w:sz w:val="24"/>
          <w:szCs w:val="24"/>
        </w:rPr>
      </w:pPr>
    </w:p>
    <w:p w14:paraId="1B7080B8" w14:textId="77777777" w:rsidR="002F1FA5" w:rsidRPr="00EC1A75" w:rsidRDefault="002F1FA5" w:rsidP="00C81973">
      <w:pPr>
        <w:numPr>
          <w:ilvl w:val="0"/>
          <w:numId w:val="2"/>
        </w:numPr>
        <w:spacing w:after="0" w:line="360" w:lineRule="auto"/>
        <w:ind w:hanging="720"/>
        <w:jc w:val="both"/>
        <w:rPr>
          <w:rFonts w:asciiTheme="minorHAnsi" w:hAnsiTheme="minorHAnsi" w:cstheme="minorHAnsi"/>
          <w:sz w:val="24"/>
          <w:szCs w:val="24"/>
        </w:rPr>
      </w:pPr>
      <w:r w:rsidRPr="00EC1A75">
        <w:rPr>
          <w:rFonts w:asciiTheme="minorHAnsi" w:hAnsiTheme="minorHAnsi" w:cstheme="minorHAnsi"/>
          <w:sz w:val="24"/>
          <w:szCs w:val="24"/>
        </w:rPr>
        <w:t xml:space="preserve">The Government is bearing down on pollution. Locating such a development close to local villages would fly in the face of such initiatives. </w:t>
      </w:r>
    </w:p>
    <w:p w14:paraId="4606D288" w14:textId="77777777" w:rsidR="002F1FA5" w:rsidRPr="00EC1A75" w:rsidRDefault="002F1FA5" w:rsidP="00C81973">
      <w:pPr>
        <w:pStyle w:val="ListParagraph"/>
        <w:spacing w:line="360" w:lineRule="auto"/>
        <w:jc w:val="both"/>
        <w:rPr>
          <w:rFonts w:asciiTheme="minorHAnsi" w:hAnsiTheme="minorHAnsi" w:cstheme="minorHAnsi"/>
          <w:sz w:val="24"/>
          <w:szCs w:val="24"/>
        </w:rPr>
      </w:pPr>
    </w:p>
    <w:p w14:paraId="0EC79462" w14:textId="1E24F982" w:rsidR="002F1FA5" w:rsidRPr="00EC1A75" w:rsidRDefault="005D1F41" w:rsidP="00C81973">
      <w:pPr>
        <w:numPr>
          <w:ilvl w:val="0"/>
          <w:numId w:val="2"/>
        </w:numPr>
        <w:spacing w:after="0" w:line="360" w:lineRule="auto"/>
        <w:ind w:hanging="720"/>
        <w:jc w:val="both"/>
        <w:rPr>
          <w:rFonts w:asciiTheme="minorHAnsi" w:hAnsiTheme="minorHAnsi" w:cstheme="minorHAnsi"/>
          <w:sz w:val="24"/>
          <w:szCs w:val="24"/>
        </w:rPr>
      </w:pPr>
      <w:r w:rsidRPr="00EC1A75">
        <w:rPr>
          <w:rFonts w:asciiTheme="minorHAnsi" w:hAnsiTheme="minorHAnsi" w:cstheme="minorHAnsi"/>
          <w:sz w:val="24"/>
          <w:szCs w:val="24"/>
        </w:rPr>
        <w:t>T</w:t>
      </w:r>
      <w:r w:rsidR="002F1FA5" w:rsidRPr="00EC1A75">
        <w:rPr>
          <w:rFonts w:asciiTheme="minorHAnsi" w:hAnsiTheme="minorHAnsi" w:cstheme="minorHAnsi"/>
          <w:sz w:val="24"/>
          <w:szCs w:val="24"/>
        </w:rPr>
        <w:t>he site lies to the east of the A14</w:t>
      </w:r>
      <w:r w:rsidRPr="00EC1A75">
        <w:rPr>
          <w:rFonts w:asciiTheme="minorHAnsi" w:hAnsiTheme="minorHAnsi" w:cstheme="minorHAnsi"/>
          <w:sz w:val="24"/>
          <w:szCs w:val="24"/>
        </w:rPr>
        <w:t xml:space="preserve">, </w:t>
      </w:r>
      <w:proofErr w:type="gramStart"/>
      <w:r w:rsidRPr="00EC1A75">
        <w:rPr>
          <w:rFonts w:asciiTheme="minorHAnsi" w:hAnsiTheme="minorHAnsi" w:cstheme="minorHAnsi"/>
          <w:sz w:val="24"/>
          <w:szCs w:val="24"/>
        </w:rPr>
        <w:t>in close proximity to</w:t>
      </w:r>
      <w:proofErr w:type="gramEnd"/>
      <w:r w:rsidRPr="00EC1A75">
        <w:rPr>
          <w:rFonts w:asciiTheme="minorHAnsi" w:hAnsiTheme="minorHAnsi" w:cstheme="minorHAnsi"/>
          <w:sz w:val="24"/>
          <w:szCs w:val="24"/>
        </w:rPr>
        <w:t xml:space="preserve"> sites of outstanding natural beauty,</w:t>
      </w:r>
      <w:r w:rsidR="002F1FA5" w:rsidRPr="00EC1A75">
        <w:rPr>
          <w:rFonts w:asciiTheme="minorHAnsi" w:hAnsiTheme="minorHAnsi" w:cstheme="minorHAnsi"/>
          <w:sz w:val="24"/>
          <w:szCs w:val="24"/>
        </w:rPr>
        <w:t xml:space="preserve"> which</w:t>
      </w:r>
      <w:r w:rsidRPr="00EC1A75">
        <w:rPr>
          <w:rFonts w:asciiTheme="minorHAnsi" w:hAnsiTheme="minorHAnsi" w:cstheme="minorHAnsi"/>
          <w:sz w:val="24"/>
          <w:szCs w:val="24"/>
        </w:rPr>
        <w:t xml:space="preserve">, </w:t>
      </w:r>
      <w:r w:rsidR="002F1FA5" w:rsidRPr="00EC1A75">
        <w:rPr>
          <w:rFonts w:asciiTheme="minorHAnsi" w:hAnsiTheme="minorHAnsi" w:cstheme="minorHAnsi"/>
          <w:sz w:val="24"/>
          <w:szCs w:val="24"/>
        </w:rPr>
        <w:t>so far</w:t>
      </w:r>
      <w:r w:rsidRPr="00EC1A75">
        <w:rPr>
          <w:rFonts w:asciiTheme="minorHAnsi" w:hAnsiTheme="minorHAnsi" w:cstheme="minorHAnsi"/>
          <w:sz w:val="24"/>
          <w:szCs w:val="24"/>
        </w:rPr>
        <w:t xml:space="preserve">, have </w:t>
      </w:r>
      <w:r w:rsidR="002F1FA5" w:rsidRPr="00EC1A75">
        <w:rPr>
          <w:rFonts w:asciiTheme="minorHAnsi" w:hAnsiTheme="minorHAnsi" w:cstheme="minorHAnsi"/>
          <w:sz w:val="24"/>
          <w:szCs w:val="24"/>
        </w:rPr>
        <w:t>been spared the relentless development afflicting so much of the Colneis peninsula</w:t>
      </w:r>
      <w:r w:rsidRPr="00EC1A75">
        <w:rPr>
          <w:rFonts w:asciiTheme="minorHAnsi" w:hAnsiTheme="minorHAnsi" w:cstheme="minorHAnsi"/>
          <w:sz w:val="24"/>
          <w:szCs w:val="24"/>
        </w:rPr>
        <w:t>.</w:t>
      </w:r>
    </w:p>
    <w:p w14:paraId="19943970" w14:textId="77777777" w:rsidR="002F1FA5" w:rsidRPr="00EC1A75" w:rsidRDefault="002F1FA5" w:rsidP="00C81973">
      <w:pPr>
        <w:pStyle w:val="ListParagraph"/>
        <w:spacing w:line="360" w:lineRule="auto"/>
        <w:jc w:val="both"/>
        <w:rPr>
          <w:rFonts w:asciiTheme="minorHAnsi" w:eastAsia="Times New Roman" w:hAnsiTheme="minorHAnsi" w:cstheme="minorHAnsi"/>
          <w:sz w:val="24"/>
          <w:szCs w:val="24"/>
          <w:lang w:eastAsia="en-GB"/>
        </w:rPr>
      </w:pPr>
    </w:p>
    <w:p w14:paraId="666C3C40" w14:textId="77438D38" w:rsidR="002F1FA5" w:rsidRPr="00EC1A75" w:rsidRDefault="002F1FA5" w:rsidP="00C81973">
      <w:pPr>
        <w:numPr>
          <w:ilvl w:val="0"/>
          <w:numId w:val="2"/>
        </w:numPr>
        <w:spacing w:after="0" w:line="360" w:lineRule="auto"/>
        <w:ind w:hanging="720"/>
        <w:jc w:val="both"/>
        <w:rPr>
          <w:rFonts w:asciiTheme="minorHAnsi" w:hAnsiTheme="minorHAnsi" w:cstheme="minorHAnsi"/>
          <w:sz w:val="24"/>
          <w:szCs w:val="24"/>
        </w:rPr>
      </w:pPr>
      <w:r w:rsidRPr="00EC1A75">
        <w:rPr>
          <w:rFonts w:asciiTheme="minorHAnsi" w:eastAsia="Times New Roman" w:hAnsiTheme="minorHAnsi" w:cstheme="minorHAnsi"/>
          <w:sz w:val="24"/>
          <w:szCs w:val="24"/>
          <w:lang w:eastAsia="en-GB"/>
        </w:rPr>
        <w:t>The Consultation on the Draft Local Plan drew an unprecedented level of response</w:t>
      </w:r>
      <w:r w:rsidR="005D1F41" w:rsidRPr="00EC1A75">
        <w:rPr>
          <w:rFonts w:asciiTheme="minorHAnsi" w:eastAsia="Times New Roman" w:hAnsiTheme="minorHAnsi" w:cstheme="minorHAnsi"/>
          <w:sz w:val="24"/>
          <w:szCs w:val="24"/>
          <w:lang w:eastAsia="en-GB"/>
        </w:rPr>
        <w:t xml:space="preserve"> from local communities</w:t>
      </w:r>
      <w:r w:rsidRPr="00EC1A75">
        <w:rPr>
          <w:rFonts w:asciiTheme="minorHAnsi" w:eastAsia="Times New Roman" w:hAnsiTheme="minorHAnsi" w:cstheme="minorHAnsi"/>
          <w:sz w:val="24"/>
          <w:szCs w:val="24"/>
          <w:lang w:eastAsia="en-GB"/>
        </w:rPr>
        <w:t xml:space="preserve"> opposing the Policy. It was a further blow to local democracy to hear the Council Planning lead observe that</w:t>
      </w:r>
      <w:r w:rsidR="005D1F41" w:rsidRPr="00EC1A75">
        <w:rPr>
          <w:rFonts w:asciiTheme="minorHAnsi" w:eastAsia="Times New Roman" w:hAnsiTheme="minorHAnsi" w:cstheme="minorHAnsi"/>
          <w:sz w:val="24"/>
          <w:szCs w:val="24"/>
          <w:lang w:eastAsia="en-GB"/>
        </w:rPr>
        <w:t>,</w:t>
      </w:r>
      <w:r w:rsidRPr="00EC1A75">
        <w:rPr>
          <w:rFonts w:asciiTheme="minorHAnsi" w:eastAsia="Times New Roman" w:hAnsiTheme="minorHAnsi" w:cstheme="minorHAnsi"/>
          <w:sz w:val="24"/>
          <w:szCs w:val="24"/>
          <w:lang w:eastAsia="en-GB"/>
        </w:rPr>
        <w:t xml:space="preserve"> </w:t>
      </w:r>
      <w:r w:rsidR="005D1F41" w:rsidRPr="00EC1A75">
        <w:rPr>
          <w:rFonts w:asciiTheme="minorHAnsi" w:eastAsia="Times New Roman" w:hAnsiTheme="minorHAnsi" w:cstheme="minorHAnsi"/>
          <w:sz w:val="24"/>
          <w:szCs w:val="24"/>
          <w:lang w:eastAsia="en-GB"/>
        </w:rPr>
        <w:t>…</w:t>
      </w:r>
      <w:proofErr w:type="gramStart"/>
      <w:r w:rsidR="005D1F41" w:rsidRPr="00EC1A75">
        <w:rPr>
          <w:rFonts w:asciiTheme="minorHAnsi" w:eastAsia="Times New Roman" w:hAnsiTheme="minorHAnsi" w:cstheme="minorHAnsi"/>
          <w:sz w:val="24"/>
          <w:szCs w:val="24"/>
          <w:lang w:eastAsia="en-GB"/>
        </w:rPr>
        <w:t>.”e</w:t>
      </w:r>
      <w:r w:rsidRPr="00EC1A75">
        <w:rPr>
          <w:rFonts w:asciiTheme="minorHAnsi" w:eastAsia="Times New Roman" w:hAnsiTheme="minorHAnsi" w:cstheme="minorHAnsi"/>
          <w:sz w:val="24"/>
          <w:szCs w:val="24"/>
          <w:lang w:eastAsia="en-GB"/>
        </w:rPr>
        <w:t>ven</w:t>
      </w:r>
      <w:proofErr w:type="gramEnd"/>
      <w:r w:rsidRPr="00EC1A75">
        <w:rPr>
          <w:rFonts w:asciiTheme="minorHAnsi" w:eastAsia="Times New Roman" w:hAnsiTheme="minorHAnsi" w:cstheme="minorHAnsi"/>
          <w:sz w:val="24"/>
          <w:szCs w:val="24"/>
          <w:lang w:eastAsia="en-GB"/>
        </w:rPr>
        <w:t xml:space="preserve"> if a million </w:t>
      </w:r>
      <w:r w:rsidR="005D1F41" w:rsidRPr="00EC1A75">
        <w:rPr>
          <w:rFonts w:asciiTheme="minorHAnsi" w:eastAsia="Times New Roman" w:hAnsiTheme="minorHAnsi" w:cstheme="minorHAnsi"/>
          <w:sz w:val="24"/>
          <w:szCs w:val="24"/>
          <w:lang w:eastAsia="en-GB"/>
        </w:rPr>
        <w:t xml:space="preserve">people had </w:t>
      </w:r>
      <w:r w:rsidRPr="00EC1A75">
        <w:rPr>
          <w:rFonts w:asciiTheme="minorHAnsi" w:eastAsia="Times New Roman" w:hAnsiTheme="minorHAnsi" w:cstheme="minorHAnsi"/>
          <w:sz w:val="24"/>
          <w:szCs w:val="24"/>
          <w:lang w:eastAsia="en-GB"/>
        </w:rPr>
        <w:t xml:space="preserve">objected, it would </w:t>
      </w:r>
      <w:r w:rsidR="005D1F41" w:rsidRPr="00EC1A75">
        <w:rPr>
          <w:rFonts w:asciiTheme="minorHAnsi" w:eastAsia="Times New Roman" w:hAnsiTheme="minorHAnsi" w:cstheme="minorHAnsi"/>
          <w:sz w:val="24"/>
          <w:szCs w:val="24"/>
          <w:lang w:eastAsia="en-GB"/>
        </w:rPr>
        <w:t>have made</w:t>
      </w:r>
      <w:r w:rsidRPr="00EC1A75">
        <w:rPr>
          <w:rFonts w:asciiTheme="minorHAnsi" w:eastAsia="Times New Roman" w:hAnsiTheme="minorHAnsi" w:cstheme="minorHAnsi"/>
          <w:sz w:val="24"/>
          <w:szCs w:val="24"/>
          <w:lang w:eastAsia="en-GB"/>
        </w:rPr>
        <w:t xml:space="preserve"> no difference – SCDC had to follow central government’s </w:t>
      </w:r>
      <w:r w:rsidR="005D1F41" w:rsidRPr="00EC1A75">
        <w:rPr>
          <w:rFonts w:asciiTheme="minorHAnsi" w:eastAsia="Times New Roman" w:hAnsiTheme="minorHAnsi" w:cstheme="minorHAnsi"/>
          <w:sz w:val="24"/>
          <w:szCs w:val="24"/>
          <w:lang w:eastAsia="en-GB"/>
        </w:rPr>
        <w:t>mandate….”</w:t>
      </w:r>
      <w:r w:rsidRPr="00EC1A75">
        <w:rPr>
          <w:rFonts w:asciiTheme="minorHAnsi" w:eastAsia="Times New Roman" w:hAnsiTheme="minorHAnsi" w:cstheme="minorHAnsi"/>
          <w:sz w:val="24"/>
          <w:szCs w:val="24"/>
          <w:lang w:eastAsia="en-GB"/>
        </w:rPr>
        <w:t xml:space="preserve"> A video of the SCDC Full Council meeting of 3</w:t>
      </w:r>
      <w:r w:rsidRPr="00EC1A75">
        <w:rPr>
          <w:rFonts w:asciiTheme="minorHAnsi" w:eastAsia="Times New Roman" w:hAnsiTheme="minorHAnsi" w:cstheme="minorHAnsi"/>
          <w:sz w:val="24"/>
          <w:szCs w:val="24"/>
          <w:vertAlign w:val="superscript"/>
          <w:lang w:eastAsia="en-GB"/>
        </w:rPr>
        <w:t>rd</w:t>
      </w:r>
      <w:r w:rsidRPr="00EC1A75">
        <w:rPr>
          <w:rFonts w:asciiTheme="minorHAnsi" w:eastAsia="Times New Roman" w:hAnsiTheme="minorHAnsi" w:cstheme="minorHAnsi"/>
          <w:sz w:val="24"/>
          <w:szCs w:val="24"/>
          <w:lang w:eastAsia="en-GB"/>
        </w:rPr>
        <w:t xml:space="preserve"> January 2019 which approved SCLP12.35 is on-line at:</w:t>
      </w:r>
    </w:p>
    <w:p w14:paraId="615056CA" w14:textId="3DAE493F" w:rsidR="002F1FA5" w:rsidRDefault="003F20D2" w:rsidP="00E20D72">
      <w:pPr>
        <w:spacing w:after="0" w:line="360" w:lineRule="auto"/>
        <w:ind w:left="1440"/>
        <w:rPr>
          <w:rFonts w:asciiTheme="minorHAnsi" w:hAnsiTheme="minorHAnsi" w:cstheme="minorHAnsi"/>
          <w:sz w:val="24"/>
          <w:szCs w:val="24"/>
        </w:rPr>
      </w:pPr>
      <w:hyperlink r:id="rId9" w:history="1">
        <w:r w:rsidR="002F1FA5" w:rsidRPr="00EC1A75">
          <w:rPr>
            <w:rStyle w:val="Hyperlink"/>
            <w:rFonts w:asciiTheme="minorHAnsi" w:eastAsia="Times New Roman" w:hAnsiTheme="minorHAnsi" w:cstheme="minorHAnsi"/>
            <w:sz w:val="24"/>
            <w:szCs w:val="24"/>
            <w:lang w:eastAsia="en-GB"/>
          </w:rPr>
          <w:t>https://www.youtube.com/watch?v=LD203I5cZ1k&amp;feature=youtu.be&amp;fbclid=IwAR3-vW47iBx0T0BJZs5Js-gfKBctbb0lkTlaPuwBcZv2L4ugy6Wmtb53ASs</w:t>
        </w:r>
      </w:hyperlink>
      <w:r w:rsidR="002F1FA5" w:rsidRPr="00EC1A75">
        <w:rPr>
          <w:rFonts w:asciiTheme="minorHAnsi" w:hAnsiTheme="minorHAnsi" w:cstheme="minorHAnsi"/>
          <w:sz w:val="24"/>
          <w:szCs w:val="24"/>
        </w:rPr>
        <w:t xml:space="preserve">   </w:t>
      </w:r>
    </w:p>
    <w:p w14:paraId="01217A96" w14:textId="77777777" w:rsidR="00FF64CC" w:rsidRDefault="00FF64CC">
      <w:pPr>
        <w:spacing w:after="0" w:line="240" w:lineRule="auto"/>
        <w:rPr>
          <w:rFonts w:asciiTheme="minorHAnsi" w:hAnsiTheme="minorHAnsi" w:cstheme="minorHAnsi"/>
          <w:b/>
          <w:sz w:val="28"/>
          <w:szCs w:val="28"/>
        </w:rPr>
      </w:pPr>
      <w:r>
        <w:rPr>
          <w:rFonts w:asciiTheme="minorHAnsi" w:hAnsiTheme="minorHAnsi" w:cstheme="minorHAnsi"/>
          <w:b/>
          <w:sz w:val="28"/>
          <w:szCs w:val="28"/>
        </w:rPr>
        <w:br w:type="page"/>
      </w:r>
    </w:p>
    <w:p w14:paraId="7624A161" w14:textId="4AB79D7C" w:rsidR="005D1F41" w:rsidRPr="00E20D72" w:rsidRDefault="005D1F41" w:rsidP="005D1F41">
      <w:pPr>
        <w:spacing w:after="0" w:line="360" w:lineRule="auto"/>
        <w:jc w:val="center"/>
        <w:rPr>
          <w:rFonts w:asciiTheme="minorHAnsi" w:hAnsiTheme="minorHAnsi" w:cstheme="minorHAnsi"/>
          <w:b/>
          <w:sz w:val="28"/>
          <w:szCs w:val="28"/>
        </w:rPr>
      </w:pPr>
      <w:r w:rsidRPr="00E20D72">
        <w:rPr>
          <w:rFonts w:asciiTheme="minorHAnsi" w:hAnsiTheme="minorHAnsi" w:cstheme="minorHAnsi"/>
          <w:b/>
          <w:sz w:val="28"/>
          <w:szCs w:val="28"/>
        </w:rPr>
        <w:lastRenderedPageBreak/>
        <w:t>REPRESENTATION BY THE KIRTON AND TRIMLEY COMMUNITY ACTION GROUP (KATCAG) TO THE SUFFOLK COASTAL FINAL DRAFT PLAN</w:t>
      </w:r>
    </w:p>
    <w:p w14:paraId="0690D86F" w14:textId="0C56B9DA" w:rsidR="00C16466" w:rsidRPr="00E20D72" w:rsidRDefault="00C16466" w:rsidP="005D1F41">
      <w:pPr>
        <w:spacing w:after="0"/>
        <w:jc w:val="center"/>
        <w:rPr>
          <w:rFonts w:asciiTheme="minorHAnsi" w:eastAsia="Times New Roman" w:hAnsiTheme="minorHAnsi" w:cstheme="minorHAnsi"/>
          <w:b/>
          <w:color w:val="333333"/>
        </w:rPr>
      </w:pPr>
    </w:p>
    <w:p w14:paraId="7DCBC2EF" w14:textId="5A96B303" w:rsidR="00C16466" w:rsidRPr="00E20D72" w:rsidRDefault="00C16466" w:rsidP="005D1F41">
      <w:pPr>
        <w:spacing w:after="0"/>
        <w:jc w:val="center"/>
        <w:rPr>
          <w:rFonts w:asciiTheme="minorHAnsi" w:eastAsia="Times New Roman" w:hAnsiTheme="minorHAnsi" w:cstheme="minorHAnsi"/>
          <w:b/>
          <w:color w:val="333333"/>
          <w:sz w:val="24"/>
          <w:szCs w:val="24"/>
        </w:rPr>
      </w:pPr>
      <w:r w:rsidRPr="00E20D72">
        <w:rPr>
          <w:rFonts w:asciiTheme="minorHAnsi" w:eastAsia="Times New Roman" w:hAnsiTheme="minorHAnsi" w:cstheme="minorHAnsi"/>
          <w:b/>
          <w:color w:val="333333"/>
          <w:sz w:val="24"/>
          <w:szCs w:val="24"/>
        </w:rPr>
        <w:t>THE JUSTIFICATION ANNEX</w:t>
      </w:r>
    </w:p>
    <w:p w14:paraId="625E507B" w14:textId="77777777" w:rsidR="005D1F41" w:rsidRPr="00E20D72" w:rsidRDefault="005D1F41" w:rsidP="005D1F41">
      <w:pPr>
        <w:spacing w:after="0"/>
        <w:jc w:val="center"/>
        <w:rPr>
          <w:rFonts w:asciiTheme="minorHAnsi" w:eastAsia="Times New Roman" w:hAnsiTheme="minorHAnsi" w:cstheme="minorHAnsi"/>
          <w:b/>
          <w:color w:val="333333"/>
          <w:sz w:val="24"/>
          <w:szCs w:val="24"/>
        </w:rPr>
      </w:pPr>
    </w:p>
    <w:p w14:paraId="0D0235E6" w14:textId="773C2CFC" w:rsidR="00C16466" w:rsidRPr="00E20D72" w:rsidRDefault="00C16466" w:rsidP="005D1F41">
      <w:pPr>
        <w:spacing w:after="0"/>
        <w:jc w:val="center"/>
        <w:rPr>
          <w:rFonts w:asciiTheme="minorHAnsi" w:hAnsiTheme="minorHAnsi" w:cstheme="minorHAnsi"/>
          <w:b/>
        </w:rPr>
      </w:pPr>
      <w:r w:rsidRPr="00E20D72">
        <w:rPr>
          <w:rFonts w:asciiTheme="minorHAnsi" w:hAnsiTheme="minorHAnsi" w:cstheme="minorHAnsi"/>
          <w:b/>
          <w:sz w:val="24"/>
          <w:szCs w:val="24"/>
        </w:rPr>
        <w:t>PORT STUDY 2018</w:t>
      </w:r>
    </w:p>
    <w:p w14:paraId="28DA81C3" w14:textId="523DE204" w:rsidR="00C16466" w:rsidRPr="00E20D72" w:rsidRDefault="00C16466" w:rsidP="00C16466">
      <w:pPr>
        <w:spacing w:after="0"/>
        <w:rPr>
          <w:rFonts w:asciiTheme="minorHAnsi" w:hAnsiTheme="minorHAnsi" w:cstheme="minorHAnsi"/>
        </w:rPr>
      </w:pPr>
    </w:p>
    <w:p w14:paraId="2B14A32D" w14:textId="77777777" w:rsidR="005D1F41" w:rsidRPr="00E20D72" w:rsidRDefault="005D1F41" w:rsidP="00C16466">
      <w:pPr>
        <w:spacing w:after="0"/>
        <w:rPr>
          <w:rFonts w:asciiTheme="minorHAnsi" w:hAnsiTheme="minorHAnsi" w:cstheme="minorHAnsi"/>
        </w:rPr>
      </w:pPr>
    </w:p>
    <w:p w14:paraId="61B0DB12" w14:textId="1FC26F78" w:rsidR="00C16466" w:rsidRPr="00EC1A75" w:rsidRDefault="00C16466" w:rsidP="00E20D72">
      <w:pPr>
        <w:spacing w:after="0"/>
        <w:jc w:val="both"/>
        <w:rPr>
          <w:rFonts w:asciiTheme="minorHAnsi" w:hAnsiTheme="minorHAnsi" w:cstheme="minorHAnsi"/>
          <w:sz w:val="24"/>
          <w:szCs w:val="24"/>
        </w:rPr>
      </w:pPr>
      <w:r w:rsidRPr="00EC1A75">
        <w:rPr>
          <w:rFonts w:asciiTheme="minorHAnsi" w:hAnsiTheme="minorHAnsi" w:cstheme="minorHAnsi"/>
          <w:sz w:val="24"/>
          <w:szCs w:val="24"/>
        </w:rPr>
        <w:t xml:space="preserve">The Port Study 2018 underpins SCDC’s contention that justification exists for the so-called “High Case” (103.8Ha.) demand for Off-Port Land. </w:t>
      </w:r>
    </w:p>
    <w:p w14:paraId="013B1268" w14:textId="77777777" w:rsidR="005D1F41" w:rsidRPr="00EC1A75" w:rsidRDefault="005D1F41" w:rsidP="00E20D72">
      <w:pPr>
        <w:spacing w:after="0"/>
        <w:jc w:val="both"/>
        <w:rPr>
          <w:rFonts w:asciiTheme="minorHAnsi" w:hAnsiTheme="minorHAnsi" w:cstheme="minorHAnsi"/>
          <w:sz w:val="24"/>
          <w:szCs w:val="24"/>
        </w:rPr>
      </w:pPr>
    </w:p>
    <w:p w14:paraId="58D13B72" w14:textId="77777777" w:rsidR="00C16466" w:rsidRPr="00EC1A75" w:rsidRDefault="00C16466" w:rsidP="00E20D72">
      <w:pPr>
        <w:spacing w:after="0"/>
        <w:jc w:val="both"/>
        <w:rPr>
          <w:rFonts w:asciiTheme="minorHAnsi" w:hAnsiTheme="minorHAnsi" w:cstheme="minorHAnsi"/>
          <w:sz w:val="24"/>
          <w:szCs w:val="24"/>
        </w:rPr>
      </w:pPr>
      <w:r w:rsidRPr="00EC1A75">
        <w:rPr>
          <w:rFonts w:asciiTheme="minorHAnsi" w:hAnsiTheme="minorHAnsi" w:cstheme="minorHAnsi"/>
          <w:sz w:val="24"/>
          <w:szCs w:val="24"/>
        </w:rPr>
        <w:t xml:space="preserve">In the Final Draft Plan, as a response to local reaction, SCDC says it is prepared to seek an allocation of only 67 Ha. at Innocence Farm, representing the so-called “Central” case. </w:t>
      </w:r>
    </w:p>
    <w:p w14:paraId="0145700D" w14:textId="77777777" w:rsidR="005D1F41" w:rsidRPr="00EC1A75" w:rsidRDefault="005D1F41" w:rsidP="00E20D72">
      <w:pPr>
        <w:spacing w:after="0"/>
        <w:jc w:val="both"/>
        <w:rPr>
          <w:rFonts w:asciiTheme="minorHAnsi" w:hAnsiTheme="minorHAnsi" w:cstheme="minorHAnsi"/>
          <w:sz w:val="24"/>
          <w:szCs w:val="24"/>
        </w:rPr>
      </w:pPr>
    </w:p>
    <w:p w14:paraId="6DE2728E" w14:textId="51C4AD9E" w:rsidR="00C16466" w:rsidRPr="00EC1A75" w:rsidRDefault="00C16466" w:rsidP="00E20D72">
      <w:pPr>
        <w:spacing w:after="0"/>
        <w:jc w:val="both"/>
        <w:rPr>
          <w:rFonts w:asciiTheme="minorHAnsi" w:hAnsiTheme="minorHAnsi" w:cstheme="minorHAnsi"/>
          <w:sz w:val="24"/>
          <w:szCs w:val="24"/>
        </w:rPr>
      </w:pPr>
      <w:r w:rsidRPr="00EC1A75">
        <w:rPr>
          <w:rFonts w:asciiTheme="minorHAnsi" w:hAnsiTheme="minorHAnsi" w:cstheme="minorHAnsi"/>
          <w:sz w:val="24"/>
          <w:szCs w:val="24"/>
        </w:rPr>
        <w:t xml:space="preserve">The 2018 Study then constitutes the sole evidence base for SCDC’s proposal.    </w:t>
      </w:r>
    </w:p>
    <w:p w14:paraId="2351B23D" w14:textId="77777777" w:rsidR="00C16466" w:rsidRPr="00EC1A75" w:rsidRDefault="00C16466" w:rsidP="00E20D72">
      <w:pPr>
        <w:spacing w:after="0"/>
        <w:jc w:val="both"/>
        <w:rPr>
          <w:rFonts w:asciiTheme="minorHAnsi" w:hAnsiTheme="minorHAnsi" w:cstheme="minorHAnsi"/>
          <w:sz w:val="24"/>
          <w:szCs w:val="24"/>
        </w:rPr>
      </w:pPr>
    </w:p>
    <w:p w14:paraId="30352DB0" w14:textId="03268DAF" w:rsidR="005D1F41" w:rsidRPr="00EC1A75" w:rsidRDefault="00C16466" w:rsidP="00E20D72">
      <w:pPr>
        <w:numPr>
          <w:ilvl w:val="0"/>
          <w:numId w:val="9"/>
        </w:numPr>
        <w:spacing w:after="0"/>
        <w:jc w:val="both"/>
        <w:rPr>
          <w:rFonts w:asciiTheme="minorHAnsi" w:hAnsiTheme="minorHAnsi" w:cstheme="minorHAnsi"/>
          <w:b/>
          <w:sz w:val="24"/>
          <w:szCs w:val="24"/>
        </w:rPr>
      </w:pPr>
      <w:r w:rsidRPr="00EC1A75">
        <w:rPr>
          <w:rFonts w:asciiTheme="minorHAnsi" w:hAnsiTheme="minorHAnsi" w:cstheme="minorHAnsi"/>
          <w:b/>
          <w:sz w:val="24"/>
          <w:szCs w:val="24"/>
        </w:rPr>
        <w:t>A “Central Case” v a “Most Likely Case”</w:t>
      </w:r>
    </w:p>
    <w:p w14:paraId="75E1CE01" w14:textId="77777777" w:rsidR="005D1F41" w:rsidRPr="00EC1A75" w:rsidRDefault="005D1F41" w:rsidP="00E20D72">
      <w:pPr>
        <w:spacing w:after="0"/>
        <w:ind w:left="360"/>
        <w:jc w:val="both"/>
        <w:rPr>
          <w:rFonts w:asciiTheme="minorHAnsi" w:hAnsiTheme="minorHAnsi" w:cstheme="minorHAnsi"/>
          <w:b/>
          <w:sz w:val="24"/>
          <w:szCs w:val="24"/>
        </w:rPr>
      </w:pPr>
    </w:p>
    <w:p w14:paraId="102FA35B" w14:textId="4AA2D40F" w:rsidR="00C16466" w:rsidRPr="00EC1A75" w:rsidRDefault="008070B3" w:rsidP="00E20D72">
      <w:pPr>
        <w:spacing w:after="0"/>
        <w:ind w:left="360"/>
        <w:jc w:val="both"/>
        <w:rPr>
          <w:rFonts w:asciiTheme="minorHAnsi" w:hAnsiTheme="minorHAnsi" w:cstheme="minorHAnsi"/>
          <w:sz w:val="24"/>
          <w:szCs w:val="24"/>
        </w:rPr>
      </w:pPr>
      <w:r w:rsidRPr="00EC1A75">
        <w:rPr>
          <w:rFonts w:asciiTheme="minorHAnsi" w:hAnsiTheme="minorHAnsi" w:cstheme="minorHAnsi"/>
          <w:sz w:val="24"/>
          <w:szCs w:val="24"/>
        </w:rPr>
        <w:t>I</w:t>
      </w:r>
      <w:r w:rsidR="00C16466" w:rsidRPr="00EC1A75">
        <w:rPr>
          <w:rFonts w:asciiTheme="minorHAnsi" w:hAnsiTheme="minorHAnsi" w:cstheme="minorHAnsi"/>
          <w:sz w:val="24"/>
          <w:szCs w:val="24"/>
        </w:rPr>
        <w:t xml:space="preserve">t is normal business practice to evaluate proposals starting with a “most likely” scenario which is then subject to sensitivity analysis. In the 2018 Study, however, the analysis sets out to establish a “Low” case and a “High” case. A “Central” case is then calculated as the simple average of the two extremes. Inevitably this will flex with variations in the two extremes, reflecting no actual degree of likelihood. </w:t>
      </w:r>
    </w:p>
    <w:p w14:paraId="56E5A452" w14:textId="42DDB9BA" w:rsidR="005D1F41" w:rsidRPr="00EC1A75" w:rsidRDefault="005D1F41" w:rsidP="00E20D72">
      <w:pPr>
        <w:spacing w:after="0"/>
        <w:ind w:left="360"/>
        <w:jc w:val="both"/>
        <w:rPr>
          <w:rFonts w:asciiTheme="minorHAnsi" w:hAnsiTheme="minorHAnsi" w:cstheme="minorHAnsi"/>
          <w:sz w:val="24"/>
          <w:szCs w:val="24"/>
        </w:rPr>
      </w:pPr>
    </w:p>
    <w:p w14:paraId="0E9AA1B2" w14:textId="77777777" w:rsidR="00C16466" w:rsidRPr="00EC1A75" w:rsidRDefault="00C16466" w:rsidP="00E20D72">
      <w:pPr>
        <w:spacing w:after="0"/>
        <w:jc w:val="both"/>
        <w:rPr>
          <w:rFonts w:asciiTheme="minorHAnsi" w:hAnsiTheme="minorHAnsi" w:cstheme="minorHAnsi"/>
          <w:sz w:val="24"/>
          <w:szCs w:val="24"/>
        </w:rPr>
      </w:pPr>
    </w:p>
    <w:p w14:paraId="13EB6FC8" w14:textId="4A2C1922" w:rsidR="008070B3" w:rsidRPr="00EC1A75" w:rsidRDefault="00C16466" w:rsidP="00E20D72">
      <w:pPr>
        <w:numPr>
          <w:ilvl w:val="0"/>
          <w:numId w:val="9"/>
        </w:numPr>
        <w:spacing w:after="0"/>
        <w:jc w:val="both"/>
        <w:rPr>
          <w:rFonts w:asciiTheme="minorHAnsi" w:hAnsiTheme="minorHAnsi" w:cstheme="minorHAnsi"/>
          <w:sz w:val="24"/>
          <w:szCs w:val="24"/>
        </w:rPr>
      </w:pPr>
      <w:r w:rsidRPr="00EC1A75">
        <w:rPr>
          <w:rFonts w:asciiTheme="minorHAnsi" w:hAnsiTheme="minorHAnsi" w:cstheme="minorHAnsi"/>
          <w:b/>
          <w:sz w:val="24"/>
          <w:szCs w:val="24"/>
        </w:rPr>
        <w:t>Growth Forecasts</w:t>
      </w:r>
    </w:p>
    <w:p w14:paraId="0B8B80A2" w14:textId="77777777" w:rsidR="008070B3" w:rsidRPr="00EC1A75" w:rsidRDefault="008070B3" w:rsidP="00E20D72">
      <w:pPr>
        <w:spacing w:after="0"/>
        <w:ind w:left="720"/>
        <w:jc w:val="both"/>
        <w:rPr>
          <w:rFonts w:asciiTheme="minorHAnsi" w:hAnsiTheme="minorHAnsi" w:cstheme="minorHAnsi"/>
          <w:sz w:val="24"/>
          <w:szCs w:val="24"/>
        </w:rPr>
      </w:pPr>
    </w:p>
    <w:p w14:paraId="2B3FE46A" w14:textId="77777777" w:rsidR="008070B3" w:rsidRPr="00EC1A75" w:rsidRDefault="00C16466" w:rsidP="00E20D72">
      <w:pPr>
        <w:spacing w:after="0"/>
        <w:ind w:left="360"/>
        <w:jc w:val="both"/>
        <w:rPr>
          <w:rFonts w:asciiTheme="minorHAnsi" w:hAnsiTheme="minorHAnsi" w:cstheme="minorHAnsi"/>
          <w:sz w:val="24"/>
          <w:szCs w:val="24"/>
        </w:rPr>
      </w:pPr>
      <w:r w:rsidRPr="00EC1A75">
        <w:rPr>
          <w:rFonts w:asciiTheme="minorHAnsi" w:hAnsiTheme="minorHAnsi" w:cstheme="minorHAnsi"/>
          <w:sz w:val="24"/>
          <w:szCs w:val="24"/>
        </w:rPr>
        <w:t>2018 must represent the most challenging year for forecasters in the short</w:t>
      </w:r>
      <w:r w:rsidR="008070B3" w:rsidRPr="00EC1A75">
        <w:rPr>
          <w:rFonts w:asciiTheme="minorHAnsi" w:hAnsiTheme="minorHAnsi" w:cstheme="minorHAnsi"/>
          <w:sz w:val="24"/>
          <w:szCs w:val="24"/>
        </w:rPr>
        <w:t>-</w:t>
      </w:r>
      <w:r w:rsidRPr="00EC1A75">
        <w:rPr>
          <w:rFonts w:asciiTheme="minorHAnsi" w:hAnsiTheme="minorHAnsi" w:cstheme="minorHAnsi"/>
          <w:sz w:val="24"/>
          <w:szCs w:val="24"/>
        </w:rPr>
        <w:t>term</w:t>
      </w:r>
      <w:r w:rsidR="008070B3" w:rsidRPr="00EC1A75">
        <w:rPr>
          <w:rFonts w:asciiTheme="minorHAnsi" w:hAnsiTheme="minorHAnsi" w:cstheme="minorHAnsi"/>
          <w:sz w:val="24"/>
          <w:szCs w:val="24"/>
        </w:rPr>
        <w:t xml:space="preserve">, </w:t>
      </w:r>
      <w:r w:rsidRPr="00EC1A75">
        <w:rPr>
          <w:rFonts w:asciiTheme="minorHAnsi" w:hAnsiTheme="minorHAnsi" w:cstheme="minorHAnsi"/>
          <w:sz w:val="24"/>
          <w:szCs w:val="24"/>
        </w:rPr>
        <w:t xml:space="preserve">let alone over the period to 2036. The 2018 Study begins by showing a strong historic correlation between GDP and the volume of TEUs. Unlike the 2008 Study, the current paper does not explicitly set out its GDP forecasts in annual percentages but simply states that the Oxford Economics was the source. </w:t>
      </w:r>
    </w:p>
    <w:p w14:paraId="6FBAB402" w14:textId="77777777" w:rsidR="008070B3" w:rsidRPr="00EC1A75" w:rsidRDefault="008070B3" w:rsidP="00E20D72">
      <w:pPr>
        <w:spacing w:after="0"/>
        <w:ind w:left="360"/>
        <w:jc w:val="both"/>
        <w:rPr>
          <w:rFonts w:asciiTheme="minorHAnsi" w:hAnsiTheme="minorHAnsi" w:cstheme="minorHAnsi"/>
          <w:sz w:val="24"/>
          <w:szCs w:val="24"/>
        </w:rPr>
      </w:pPr>
    </w:p>
    <w:p w14:paraId="2F559EFC" w14:textId="34279706" w:rsidR="008070B3" w:rsidRPr="00EC1A75" w:rsidRDefault="00C16466" w:rsidP="00E20D72">
      <w:pPr>
        <w:spacing w:after="0"/>
        <w:ind w:left="360"/>
        <w:jc w:val="both"/>
        <w:rPr>
          <w:rFonts w:asciiTheme="minorHAnsi" w:hAnsiTheme="minorHAnsi" w:cstheme="minorHAnsi"/>
          <w:i/>
          <w:sz w:val="24"/>
          <w:szCs w:val="24"/>
        </w:rPr>
      </w:pPr>
      <w:r w:rsidRPr="00EC1A75">
        <w:rPr>
          <w:rFonts w:asciiTheme="minorHAnsi" w:hAnsiTheme="minorHAnsi" w:cstheme="minorHAnsi"/>
          <w:sz w:val="24"/>
          <w:szCs w:val="24"/>
        </w:rPr>
        <w:t xml:space="preserve">Turning to TEU forecasts, crucially para 2.32 states that: </w:t>
      </w:r>
      <w:r w:rsidRPr="00EC1A75">
        <w:rPr>
          <w:rFonts w:asciiTheme="minorHAnsi" w:eastAsia="Times New Roman" w:hAnsiTheme="minorHAnsi" w:cstheme="minorHAnsi"/>
          <w:i/>
          <w:sz w:val="24"/>
          <w:szCs w:val="24"/>
          <w:lang w:eastAsia="en-GB"/>
        </w:rPr>
        <w:t xml:space="preserve">- </w:t>
      </w:r>
      <w:r w:rsidRPr="00EC1A75">
        <w:rPr>
          <w:rFonts w:asciiTheme="minorHAnsi" w:eastAsia="Times New Roman" w:hAnsiTheme="minorHAnsi" w:cstheme="minorHAnsi"/>
          <w:i/>
          <w:color w:val="C00000"/>
          <w:sz w:val="24"/>
          <w:szCs w:val="24"/>
          <w:lang w:eastAsia="en-GB"/>
        </w:rPr>
        <w:t>“The UK GDP is further adapted to take into account local port and market conditions that Royal Haskoning DHV considers will have an impact on container throughput.”</w:t>
      </w:r>
      <w:r w:rsidRPr="00EC1A75">
        <w:rPr>
          <w:rFonts w:asciiTheme="minorHAnsi" w:eastAsia="Times New Roman" w:hAnsiTheme="minorHAnsi" w:cstheme="minorHAnsi"/>
          <w:color w:val="C00000"/>
          <w:sz w:val="24"/>
          <w:szCs w:val="24"/>
          <w:lang w:eastAsia="en-GB"/>
        </w:rPr>
        <w:t xml:space="preserve"> </w:t>
      </w:r>
      <w:r w:rsidRPr="00EC1A75">
        <w:rPr>
          <w:rFonts w:asciiTheme="minorHAnsi" w:eastAsia="Times New Roman" w:hAnsiTheme="minorHAnsi" w:cstheme="minorHAnsi"/>
          <w:sz w:val="24"/>
          <w:szCs w:val="24"/>
          <w:lang w:eastAsia="en-GB"/>
        </w:rPr>
        <w:t>The paper goes on to say at para 2.37 that</w:t>
      </w:r>
      <w:r w:rsidRPr="00EC1A75">
        <w:rPr>
          <w:rFonts w:asciiTheme="minorHAnsi" w:eastAsia="Times New Roman" w:hAnsiTheme="minorHAnsi" w:cstheme="minorHAnsi"/>
          <w:i/>
          <w:sz w:val="24"/>
          <w:szCs w:val="24"/>
          <w:lang w:eastAsia="en-GB"/>
        </w:rPr>
        <w:t xml:space="preserve">: </w:t>
      </w:r>
      <w:r w:rsidRPr="00EC1A75">
        <w:rPr>
          <w:rFonts w:asciiTheme="minorHAnsi" w:eastAsia="Times New Roman" w:hAnsiTheme="minorHAnsi" w:cstheme="minorHAnsi"/>
          <w:i/>
          <w:color w:val="C00000"/>
          <w:sz w:val="24"/>
          <w:szCs w:val="24"/>
          <w:lang w:eastAsia="en-GB"/>
        </w:rPr>
        <w:t xml:space="preserve">“The Central and Low Cases assume a slowing of both GDP and volumes as the economy adjusts to Brexit in the short and medium term. This GDP slowdown has a knock -on impact on throughput activity at the Port of Felixstowe under the assumption that UK consumer demand for imported goods would reduce, ultimately impacting on both EU and </w:t>
      </w:r>
      <w:proofErr w:type="gramStart"/>
      <w:r w:rsidRPr="00EC1A75">
        <w:rPr>
          <w:rFonts w:asciiTheme="minorHAnsi" w:eastAsia="Times New Roman" w:hAnsiTheme="minorHAnsi" w:cstheme="minorHAnsi"/>
          <w:i/>
          <w:color w:val="C00000"/>
          <w:sz w:val="24"/>
          <w:szCs w:val="24"/>
          <w:lang w:eastAsia="en-GB"/>
        </w:rPr>
        <w:t>non EU</w:t>
      </w:r>
      <w:proofErr w:type="gramEnd"/>
      <w:r w:rsidRPr="00EC1A75">
        <w:rPr>
          <w:rFonts w:asciiTheme="minorHAnsi" w:eastAsia="Times New Roman" w:hAnsiTheme="minorHAnsi" w:cstheme="minorHAnsi"/>
          <w:i/>
          <w:color w:val="C00000"/>
          <w:sz w:val="24"/>
          <w:szCs w:val="24"/>
          <w:lang w:eastAsia="en-GB"/>
        </w:rPr>
        <w:t xml:space="preserve"> trade.”</w:t>
      </w:r>
      <w:r w:rsidRPr="00EC1A75">
        <w:rPr>
          <w:rFonts w:asciiTheme="minorHAnsi" w:eastAsia="Times New Roman" w:hAnsiTheme="minorHAnsi" w:cstheme="minorHAnsi"/>
          <w:color w:val="C00000"/>
          <w:sz w:val="24"/>
          <w:szCs w:val="24"/>
          <w:lang w:eastAsia="en-GB"/>
        </w:rPr>
        <w:t xml:space="preserve">  </w:t>
      </w:r>
      <w:r w:rsidRPr="00EC1A75">
        <w:rPr>
          <w:rFonts w:asciiTheme="minorHAnsi" w:eastAsia="Times New Roman" w:hAnsiTheme="minorHAnsi" w:cstheme="minorHAnsi"/>
          <w:sz w:val="24"/>
          <w:szCs w:val="24"/>
          <w:lang w:eastAsia="en-GB"/>
        </w:rPr>
        <w:t>Para 2.38 then says</w:t>
      </w:r>
      <w:r w:rsidRPr="00EC1A75">
        <w:rPr>
          <w:rFonts w:asciiTheme="minorHAnsi" w:eastAsia="Times New Roman" w:hAnsiTheme="minorHAnsi" w:cstheme="minorHAnsi"/>
          <w:color w:val="C00000"/>
          <w:sz w:val="24"/>
          <w:szCs w:val="24"/>
          <w:lang w:eastAsia="en-GB"/>
        </w:rPr>
        <w:t xml:space="preserve">: </w:t>
      </w:r>
      <w:r w:rsidRPr="00EC1A75">
        <w:rPr>
          <w:rFonts w:asciiTheme="minorHAnsi" w:eastAsia="Times New Roman" w:hAnsiTheme="minorHAnsi" w:cstheme="minorHAnsi"/>
          <w:i/>
          <w:color w:val="C00000"/>
          <w:sz w:val="24"/>
          <w:szCs w:val="24"/>
          <w:lang w:eastAsia="en-GB"/>
        </w:rPr>
        <w:t>“The High Case assumes a positive impact from tailored trade agreements after Brexit.”</w:t>
      </w:r>
      <w:r w:rsidR="00E20D72" w:rsidRPr="00EC1A75">
        <w:rPr>
          <w:rFonts w:asciiTheme="minorHAnsi" w:hAnsiTheme="minorHAnsi" w:cstheme="minorHAnsi"/>
          <w:i/>
          <w:sz w:val="24"/>
          <w:szCs w:val="24"/>
        </w:rPr>
        <w:t xml:space="preserve"> </w:t>
      </w:r>
      <w:r w:rsidRPr="00EC1A75">
        <w:rPr>
          <w:rFonts w:asciiTheme="minorHAnsi" w:eastAsia="Times New Roman" w:hAnsiTheme="minorHAnsi" w:cstheme="minorHAnsi"/>
          <w:sz w:val="24"/>
          <w:szCs w:val="24"/>
          <w:lang w:eastAsia="en-GB"/>
        </w:rPr>
        <w:t xml:space="preserve">It would have been useful to see the respective annual growth </w:t>
      </w:r>
      <w:r w:rsidRPr="00EC1A75">
        <w:rPr>
          <w:rFonts w:asciiTheme="minorHAnsi" w:eastAsia="Times New Roman" w:hAnsiTheme="minorHAnsi" w:cstheme="minorHAnsi"/>
          <w:sz w:val="24"/>
          <w:szCs w:val="24"/>
          <w:lang w:eastAsia="en-GB"/>
        </w:rPr>
        <w:lastRenderedPageBreak/>
        <w:t>figures for each scenario.</w:t>
      </w:r>
      <w:r w:rsidR="00E20D72" w:rsidRPr="00EC1A75">
        <w:rPr>
          <w:rFonts w:asciiTheme="minorHAnsi" w:hAnsiTheme="minorHAnsi" w:cstheme="minorHAnsi"/>
          <w:i/>
          <w:sz w:val="24"/>
          <w:szCs w:val="24"/>
        </w:rPr>
        <w:t xml:space="preserve"> </w:t>
      </w:r>
      <w:r w:rsidRPr="00EC1A75">
        <w:rPr>
          <w:rFonts w:asciiTheme="minorHAnsi" w:eastAsia="Times New Roman" w:hAnsiTheme="minorHAnsi" w:cstheme="minorHAnsi"/>
          <w:sz w:val="24"/>
          <w:szCs w:val="24"/>
          <w:lang w:eastAsia="en-GB"/>
        </w:rPr>
        <w:t>It is worth looking at the overall growth in TEUs over the three scenarios. Para 2.39 says:</w:t>
      </w:r>
      <w:r w:rsidR="008070B3" w:rsidRPr="00EC1A75">
        <w:rPr>
          <w:rFonts w:asciiTheme="minorHAnsi" w:hAnsiTheme="minorHAnsi" w:cstheme="minorHAnsi"/>
          <w:sz w:val="24"/>
          <w:szCs w:val="24"/>
        </w:rPr>
        <w:t xml:space="preserve"> </w:t>
      </w:r>
      <w:r w:rsidRPr="00EC1A75">
        <w:rPr>
          <w:rFonts w:asciiTheme="minorHAnsi" w:eastAsia="Times New Roman" w:hAnsiTheme="minorHAnsi" w:cstheme="minorHAnsi"/>
          <w:i/>
          <w:color w:val="C00000"/>
          <w:sz w:val="24"/>
          <w:szCs w:val="24"/>
          <w:lang w:eastAsia="en-GB"/>
        </w:rPr>
        <w:t xml:space="preserve">“Overall, these forecasts indicate that from a starting point of about 9.5 M TEU in 2014 UK throughput could increase to between 12.4 M TEU (Low Case), 13.6M TEU (Central Case) or 14.6 M TEU (High Case) by 2040.” </w:t>
      </w:r>
    </w:p>
    <w:p w14:paraId="425B16BF" w14:textId="77777777" w:rsidR="008070B3" w:rsidRPr="00EC1A75" w:rsidRDefault="008070B3" w:rsidP="00E20D72">
      <w:pPr>
        <w:spacing w:after="0"/>
        <w:ind w:left="360"/>
        <w:jc w:val="both"/>
        <w:rPr>
          <w:rFonts w:asciiTheme="minorHAnsi" w:eastAsia="Times New Roman" w:hAnsiTheme="minorHAnsi" w:cstheme="minorHAnsi"/>
          <w:color w:val="C00000"/>
          <w:sz w:val="24"/>
          <w:szCs w:val="24"/>
          <w:lang w:eastAsia="en-GB"/>
        </w:rPr>
      </w:pPr>
    </w:p>
    <w:p w14:paraId="5343D2BF" w14:textId="3B8487F0" w:rsidR="00C16466" w:rsidRPr="00EC1A75" w:rsidRDefault="00C16466" w:rsidP="00E20D72">
      <w:pPr>
        <w:spacing w:after="0"/>
        <w:ind w:left="360"/>
        <w:jc w:val="both"/>
        <w:rPr>
          <w:rFonts w:asciiTheme="minorHAnsi" w:hAnsiTheme="minorHAnsi" w:cstheme="minorHAnsi"/>
          <w:sz w:val="24"/>
          <w:szCs w:val="24"/>
        </w:rPr>
      </w:pPr>
      <w:r w:rsidRPr="00EC1A75">
        <w:rPr>
          <w:rFonts w:asciiTheme="minorHAnsi" w:eastAsia="Times New Roman" w:hAnsiTheme="minorHAnsi" w:cstheme="minorHAnsi"/>
          <w:sz w:val="24"/>
          <w:szCs w:val="24"/>
          <w:lang w:eastAsia="en-GB"/>
        </w:rPr>
        <w:t xml:space="preserve">In simple percentage terms these figures equate to TEU growth over the period ranging from 30% “Low” to 54% “High” creating a “Central” 43%. Compared with one another, the range would seem much less significant – the “High” being around 18% higher than the “Low” &amp; only 7.3% higher than the derived “Central”. Over such a long time-frame and given the political and trade uncertainties, these would seem relatively small degrees of difference - an implication of spurious accuracy. </w:t>
      </w:r>
    </w:p>
    <w:p w14:paraId="6BF8BF67" w14:textId="77777777" w:rsidR="00C16466" w:rsidRPr="00EC1A75" w:rsidRDefault="00C16466" w:rsidP="00E20D72">
      <w:pPr>
        <w:spacing w:after="0"/>
        <w:jc w:val="both"/>
        <w:rPr>
          <w:rFonts w:asciiTheme="minorHAnsi" w:eastAsia="Times New Roman" w:hAnsiTheme="minorHAnsi" w:cstheme="minorHAnsi"/>
          <w:sz w:val="24"/>
          <w:szCs w:val="24"/>
          <w:lang w:eastAsia="en-GB"/>
        </w:rPr>
      </w:pPr>
    </w:p>
    <w:p w14:paraId="05EAB155" w14:textId="17A1B963" w:rsidR="008070B3" w:rsidRPr="00EC1A75" w:rsidRDefault="00C16466" w:rsidP="00E20D72">
      <w:pPr>
        <w:numPr>
          <w:ilvl w:val="0"/>
          <w:numId w:val="9"/>
        </w:numPr>
        <w:spacing w:after="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Felixstowe’s Share of the UK TEU Trade</w:t>
      </w:r>
    </w:p>
    <w:p w14:paraId="05EF7C1F" w14:textId="77777777" w:rsidR="008070B3" w:rsidRPr="00EC1A75" w:rsidRDefault="008070B3" w:rsidP="00E20D72">
      <w:pPr>
        <w:spacing w:after="0"/>
        <w:ind w:left="720"/>
        <w:jc w:val="both"/>
        <w:rPr>
          <w:rFonts w:asciiTheme="minorHAnsi" w:eastAsia="Times New Roman" w:hAnsiTheme="minorHAnsi" w:cstheme="minorHAnsi"/>
          <w:color w:val="C00000"/>
          <w:sz w:val="24"/>
          <w:szCs w:val="24"/>
          <w:lang w:eastAsia="en-GB"/>
        </w:rPr>
      </w:pPr>
    </w:p>
    <w:p w14:paraId="197C87F4" w14:textId="77777777" w:rsidR="008070B3" w:rsidRPr="00EC1A75" w:rsidRDefault="00C16466" w:rsidP="00E20D72">
      <w:pPr>
        <w:spacing w:after="0"/>
        <w:ind w:left="360"/>
        <w:jc w:val="both"/>
        <w:rPr>
          <w:rFonts w:asciiTheme="minorHAnsi" w:eastAsia="Times New Roman" w:hAnsiTheme="minorHAnsi" w:cstheme="minorHAnsi"/>
          <w:color w:val="C00000"/>
          <w:sz w:val="24"/>
          <w:szCs w:val="24"/>
          <w:lang w:eastAsia="en-GB"/>
        </w:rPr>
      </w:pPr>
      <w:r w:rsidRPr="00EC1A75">
        <w:rPr>
          <w:rFonts w:asciiTheme="minorHAnsi" w:eastAsia="Times New Roman" w:hAnsiTheme="minorHAnsi" w:cstheme="minorHAnsi"/>
          <w:sz w:val="24"/>
          <w:szCs w:val="24"/>
          <w:lang w:eastAsia="en-GB"/>
        </w:rPr>
        <w:t xml:space="preserve"> </w:t>
      </w:r>
      <w:r w:rsidR="008070B3" w:rsidRPr="00EC1A75">
        <w:rPr>
          <w:rFonts w:asciiTheme="minorHAnsi" w:eastAsia="Times New Roman" w:hAnsiTheme="minorHAnsi" w:cstheme="minorHAnsi"/>
          <w:sz w:val="24"/>
          <w:szCs w:val="24"/>
          <w:lang w:eastAsia="en-GB"/>
        </w:rPr>
        <w:t>P</w:t>
      </w:r>
      <w:r w:rsidRPr="00EC1A75">
        <w:rPr>
          <w:rFonts w:asciiTheme="minorHAnsi" w:eastAsia="Times New Roman" w:hAnsiTheme="minorHAnsi" w:cstheme="minorHAnsi"/>
          <w:sz w:val="24"/>
          <w:szCs w:val="24"/>
          <w:lang w:eastAsia="en-GB"/>
        </w:rPr>
        <w:t>ara 2.41 says that the assumption throughout the analysis is that Felixstowe will retain its market share. Para 4.3 re-states this:</w:t>
      </w:r>
      <w:r w:rsidRPr="00EC1A75">
        <w:rPr>
          <w:rFonts w:asciiTheme="minorHAnsi" w:hAnsiTheme="minorHAnsi" w:cstheme="minorHAnsi"/>
          <w:color w:val="C00000"/>
          <w:sz w:val="24"/>
          <w:szCs w:val="24"/>
        </w:rPr>
        <w:t xml:space="preserve"> </w:t>
      </w:r>
      <w:r w:rsidRPr="00EC1A75">
        <w:rPr>
          <w:rFonts w:asciiTheme="minorHAnsi" w:hAnsiTheme="minorHAnsi" w:cstheme="minorHAnsi"/>
          <w:i/>
          <w:color w:val="C00000"/>
          <w:sz w:val="24"/>
          <w:szCs w:val="24"/>
        </w:rPr>
        <w:t>“</w:t>
      </w:r>
      <w:r w:rsidRPr="00EC1A75">
        <w:rPr>
          <w:rFonts w:asciiTheme="minorHAnsi" w:eastAsia="Times New Roman" w:hAnsiTheme="minorHAnsi" w:cstheme="minorHAnsi"/>
          <w:i/>
          <w:color w:val="C00000"/>
          <w:sz w:val="24"/>
          <w:szCs w:val="24"/>
          <w:lang w:eastAsia="en-GB"/>
        </w:rPr>
        <w:t>The Port’s market share of total UK TEU is assumed to remain at historical levels which have averaged about 39% of total TEU over the past 17 years.”</w:t>
      </w:r>
      <w:r w:rsidR="008070B3" w:rsidRPr="00EC1A75">
        <w:rPr>
          <w:rFonts w:asciiTheme="minorHAnsi" w:eastAsia="Times New Roman" w:hAnsiTheme="minorHAnsi" w:cstheme="minorHAnsi"/>
          <w:i/>
          <w:color w:val="C00000"/>
          <w:sz w:val="24"/>
          <w:szCs w:val="24"/>
          <w:lang w:eastAsia="en-GB"/>
        </w:rPr>
        <w:t xml:space="preserve"> </w:t>
      </w:r>
      <w:r w:rsidRPr="00EC1A75">
        <w:rPr>
          <w:rFonts w:asciiTheme="minorHAnsi" w:eastAsia="Times New Roman" w:hAnsiTheme="minorHAnsi" w:cstheme="minorHAnsi"/>
          <w:i/>
          <w:sz w:val="24"/>
          <w:szCs w:val="24"/>
          <w:lang w:eastAsia="en-GB"/>
        </w:rPr>
        <w:t>By contrast para 4.11 reads:</w:t>
      </w:r>
      <w:r w:rsidR="008070B3" w:rsidRPr="00EC1A75">
        <w:rPr>
          <w:rFonts w:asciiTheme="minorHAnsi" w:eastAsia="Times New Roman" w:hAnsiTheme="minorHAnsi" w:cstheme="minorHAnsi"/>
          <w:i/>
          <w:color w:val="C00000"/>
          <w:sz w:val="24"/>
          <w:szCs w:val="24"/>
          <w:lang w:eastAsia="en-GB"/>
        </w:rPr>
        <w:t xml:space="preserve"> </w:t>
      </w:r>
      <w:r w:rsidRPr="00EC1A75">
        <w:rPr>
          <w:rFonts w:asciiTheme="minorHAnsi" w:eastAsia="Times New Roman" w:hAnsiTheme="minorHAnsi" w:cstheme="minorHAnsi"/>
          <w:i/>
          <w:color w:val="C00000"/>
          <w:sz w:val="24"/>
          <w:szCs w:val="24"/>
          <w:lang w:eastAsia="en-GB"/>
        </w:rPr>
        <w:t>“In the Low Case, the arrival of Liverpool 2 is assumed to decrease Felixstowe’s market share as these two ports compete for container movements to the Golden Triangle. By contrast, Felixstowe’s market share is held constant in the Central and High Case scenarios (i.e. there is no assumed impact arising from Liverpool 2).”</w:t>
      </w:r>
      <w:r w:rsidRPr="00EC1A75">
        <w:rPr>
          <w:rFonts w:asciiTheme="minorHAnsi" w:eastAsia="Times New Roman" w:hAnsiTheme="minorHAnsi" w:cstheme="minorHAnsi"/>
          <w:color w:val="C00000"/>
          <w:sz w:val="24"/>
          <w:szCs w:val="24"/>
          <w:lang w:eastAsia="en-GB"/>
        </w:rPr>
        <w:t xml:space="preserve"> </w:t>
      </w:r>
      <w:r w:rsidRPr="00EC1A75">
        <w:rPr>
          <w:rFonts w:asciiTheme="minorHAnsi" w:eastAsia="Times New Roman" w:hAnsiTheme="minorHAnsi" w:cstheme="minorHAnsi"/>
          <w:sz w:val="24"/>
          <w:szCs w:val="24"/>
          <w:lang w:eastAsia="en-GB"/>
        </w:rPr>
        <w:t xml:space="preserve">This would seem to be an inconsistency. There should have been an explicit statement of the percentage loss of share in the “Low” case. </w:t>
      </w:r>
    </w:p>
    <w:p w14:paraId="79EA07C3" w14:textId="77777777" w:rsidR="008070B3" w:rsidRPr="00EC1A75" w:rsidRDefault="008070B3" w:rsidP="00E20D72">
      <w:pPr>
        <w:spacing w:after="0"/>
        <w:ind w:left="360"/>
        <w:jc w:val="both"/>
        <w:rPr>
          <w:rFonts w:asciiTheme="minorHAnsi" w:eastAsia="Times New Roman" w:hAnsiTheme="minorHAnsi" w:cstheme="minorHAnsi"/>
          <w:color w:val="C00000"/>
          <w:sz w:val="24"/>
          <w:szCs w:val="24"/>
          <w:lang w:eastAsia="en-GB"/>
        </w:rPr>
      </w:pPr>
    </w:p>
    <w:p w14:paraId="2AD17E47" w14:textId="77777777" w:rsidR="008070B3" w:rsidRPr="00EC1A75" w:rsidRDefault="00C16466" w:rsidP="00E20D72">
      <w:pPr>
        <w:spacing w:after="0"/>
        <w:ind w:left="360"/>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Naturally retaining market share at the historical average would be a base case but surely it would have been reasonable to undertake sensitivity analysis to establish the effect of Felixstowe losing various degrees of market share to the competition.</w:t>
      </w:r>
    </w:p>
    <w:p w14:paraId="5581753B" w14:textId="627B2F46" w:rsidR="008070B3" w:rsidRPr="00EC1A75" w:rsidRDefault="00C16466" w:rsidP="00E20D72">
      <w:pPr>
        <w:spacing w:after="0"/>
        <w:ind w:left="360"/>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 xml:space="preserve"> </w:t>
      </w:r>
    </w:p>
    <w:p w14:paraId="111BE23A" w14:textId="6AA1220B" w:rsidR="008070B3" w:rsidRPr="00EC1A75" w:rsidRDefault="00C16466" w:rsidP="00E20D72">
      <w:pPr>
        <w:numPr>
          <w:ilvl w:val="0"/>
          <w:numId w:val="9"/>
        </w:numPr>
        <w:spacing w:after="0"/>
        <w:jc w:val="both"/>
        <w:rPr>
          <w:rFonts w:asciiTheme="minorHAnsi" w:eastAsia="Times New Roman" w:hAnsiTheme="minorHAnsi" w:cstheme="minorHAnsi"/>
          <w:sz w:val="24"/>
          <w:szCs w:val="24"/>
          <w:lang w:eastAsia="en-GB"/>
        </w:rPr>
      </w:pPr>
      <w:r w:rsidRPr="00EC1A75">
        <w:rPr>
          <w:rFonts w:asciiTheme="minorHAnsi" w:hAnsiTheme="minorHAnsi" w:cstheme="minorHAnsi"/>
          <w:b/>
          <w:sz w:val="24"/>
          <w:szCs w:val="24"/>
        </w:rPr>
        <w:t xml:space="preserve">Calculating </w:t>
      </w:r>
      <w:proofErr w:type="gramStart"/>
      <w:r w:rsidR="001E67D5" w:rsidRPr="00EC1A75">
        <w:rPr>
          <w:rFonts w:asciiTheme="minorHAnsi" w:hAnsiTheme="minorHAnsi" w:cstheme="minorHAnsi"/>
          <w:b/>
          <w:sz w:val="24"/>
          <w:szCs w:val="24"/>
        </w:rPr>
        <w:t>T</w:t>
      </w:r>
      <w:r w:rsidRPr="00EC1A75">
        <w:rPr>
          <w:rFonts w:asciiTheme="minorHAnsi" w:hAnsiTheme="minorHAnsi" w:cstheme="minorHAnsi"/>
          <w:b/>
          <w:sz w:val="24"/>
          <w:szCs w:val="24"/>
        </w:rPr>
        <w:t>he</w:t>
      </w:r>
      <w:proofErr w:type="gramEnd"/>
      <w:r w:rsidRPr="00EC1A75">
        <w:rPr>
          <w:rFonts w:asciiTheme="minorHAnsi" w:hAnsiTheme="minorHAnsi" w:cstheme="minorHAnsi"/>
          <w:b/>
          <w:sz w:val="24"/>
          <w:szCs w:val="24"/>
        </w:rPr>
        <w:t xml:space="preserve"> </w:t>
      </w:r>
      <w:r w:rsidR="001E67D5" w:rsidRPr="00EC1A75">
        <w:rPr>
          <w:rFonts w:asciiTheme="minorHAnsi" w:hAnsiTheme="minorHAnsi" w:cstheme="minorHAnsi"/>
          <w:b/>
          <w:sz w:val="24"/>
          <w:szCs w:val="24"/>
        </w:rPr>
        <w:t>N</w:t>
      </w:r>
      <w:r w:rsidRPr="00EC1A75">
        <w:rPr>
          <w:rFonts w:asciiTheme="minorHAnsi" w:hAnsiTheme="minorHAnsi" w:cstheme="minorHAnsi"/>
          <w:b/>
          <w:sz w:val="24"/>
          <w:szCs w:val="24"/>
        </w:rPr>
        <w:t xml:space="preserve">eed </w:t>
      </w:r>
      <w:r w:rsidR="001E67D5" w:rsidRPr="00EC1A75">
        <w:rPr>
          <w:rFonts w:asciiTheme="minorHAnsi" w:hAnsiTheme="minorHAnsi" w:cstheme="minorHAnsi"/>
          <w:b/>
          <w:sz w:val="24"/>
          <w:szCs w:val="24"/>
        </w:rPr>
        <w:t>F</w:t>
      </w:r>
      <w:r w:rsidRPr="00EC1A75">
        <w:rPr>
          <w:rFonts w:asciiTheme="minorHAnsi" w:hAnsiTheme="minorHAnsi" w:cstheme="minorHAnsi"/>
          <w:b/>
          <w:sz w:val="24"/>
          <w:szCs w:val="24"/>
        </w:rPr>
        <w:t xml:space="preserve">or </w:t>
      </w:r>
      <w:r w:rsidR="001E67D5" w:rsidRPr="00EC1A75">
        <w:rPr>
          <w:rFonts w:asciiTheme="minorHAnsi" w:hAnsiTheme="minorHAnsi" w:cstheme="minorHAnsi"/>
          <w:b/>
          <w:sz w:val="24"/>
          <w:szCs w:val="24"/>
        </w:rPr>
        <w:t>O</w:t>
      </w:r>
      <w:r w:rsidRPr="00EC1A75">
        <w:rPr>
          <w:rFonts w:asciiTheme="minorHAnsi" w:hAnsiTheme="minorHAnsi" w:cstheme="minorHAnsi"/>
          <w:b/>
          <w:sz w:val="24"/>
          <w:szCs w:val="24"/>
        </w:rPr>
        <w:t>ff-</w:t>
      </w:r>
      <w:r w:rsidR="001E67D5" w:rsidRPr="00EC1A75">
        <w:rPr>
          <w:rFonts w:asciiTheme="minorHAnsi" w:hAnsiTheme="minorHAnsi" w:cstheme="minorHAnsi"/>
          <w:b/>
          <w:sz w:val="24"/>
          <w:szCs w:val="24"/>
        </w:rPr>
        <w:t>P</w:t>
      </w:r>
      <w:r w:rsidRPr="00EC1A75">
        <w:rPr>
          <w:rFonts w:asciiTheme="minorHAnsi" w:hAnsiTheme="minorHAnsi" w:cstheme="minorHAnsi"/>
          <w:b/>
          <w:sz w:val="24"/>
          <w:szCs w:val="24"/>
        </w:rPr>
        <w:t xml:space="preserve">ort </w:t>
      </w:r>
      <w:r w:rsidR="001E67D5" w:rsidRPr="00EC1A75">
        <w:rPr>
          <w:rFonts w:asciiTheme="minorHAnsi" w:hAnsiTheme="minorHAnsi" w:cstheme="minorHAnsi"/>
          <w:b/>
          <w:sz w:val="24"/>
          <w:szCs w:val="24"/>
        </w:rPr>
        <w:t>S</w:t>
      </w:r>
      <w:r w:rsidRPr="00EC1A75">
        <w:rPr>
          <w:rFonts w:asciiTheme="minorHAnsi" w:hAnsiTheme="minorHAnsi" w:cstheme="minorHAnsi"/>
          <w:b/>
          <w:sz w:val="24"/>
          <w:szCs w:val="24"/>
        </w:rPr>
        <w:t>torage</w:t>
      </w:r>
    </w:p>
    <w:p w14:paraId="756D7373" w14:textId="77777777" w:rsidR="008070B3" w:rsidRPr="00EC1A75" w:rsidRDefault="008070B3" w:rsidP="00E20D72">
      <w:pPr>
        <w:spacing w:after="0"/>
        <w:ind w:left="720"/>
        <w:jc w:val="both"/>
        <w:rPr>
          <w:rFonts w:asciiTheme="minorHAnsi" w:eastAsia="Times New Roman" w:hAnsiTheme="minorHAnsi" w:cstheme="minorHAnsi"/>
          <w:color w:val="C00000"/>
          <w:sz w:val="24"/>
          <w:szCs w:val="24"/>
          <w:lang w:eastAsia="en-GB"/>
        </w:rPr>
      </w:pPr>
    </w:p>
    <w:p w14:paraId="12B0F015" w14:textId="77777777" w:rsidR="00E43077" w:rsidRPr="00EC1A75" w:rsidRDefault="008070B3" w:rsidP="00E20D72">
      <w:pPr>
        <w:spacing w:after="0"/>
        <w:ind w:left="426"/>
        <w:jc w:val="both"/>
        <w:rPr>
          <w:rFonts w:asciiTheme="minorHAnsi" w:hAnsiTheme="minorHAnsi" w:cstheme="minorHAnsi"/>
          <w:sz w:val="24"/>
          <w:szCs w:val="24"/>
        </w:rPr>
      </w:pPr>
      <w:r w:rsidRPr="00EC1A75">
        <w:rPr>
          <w:rFonts w:asciiTheme="minorHAnsi" w:hAnsiTheme="minorHAnsi" w:cstheme="minorHAnsi"/>
          <w:sz w:val="24"/>
          <w:szCs w:val="24"/>
        </w:rPr>
        <w:t>H</w:t>
      </w:r>
      <w:r w:rsidR="00C16466" w:rsidRPr="00EC1A75">
        <w:rPr>
          <w:rFonts w:asciiTheme="minorHAnsi" w:hAnsiTheme="minorHAnsi" w:cstheme="minorHAnsi"/>
          <w:sz w:val="24"/>
          <w:szCs w:val="24"/>
        </w:rPr>
        <w:t>aving derived Felixstowe’s share of the UK’s forecast TEU volumes, the 2018 Study then</w:t>
      </w:r>
      <w:r w:rsidRPr="00EC1A75">
        <w:rPr>
          <w:rFonts w:asciiTheme="minorHAnsi" w:hAnsiTheme="minorHAnsi" w:cstheme="minorHAnsi"/>
          <w:sz w:val="24"/>
          <w:szCs w:val="24"/>
        </w:rPr>
        <w:t xml:space="preserve"> </w:t>
      </w:r>
      <w:r w:rsidR="00C16466" w:rsidRPr="00EC1A75">
        <w:rPr>
          <w:rFonts w:asciiTheme="minorHAnsi" w:hAnsiTheme="minorHAnsi" w:cstheme="minorHAnsi"/>
          <w:sz w:val="24"/>
          <w:szCs w:val="24"/>
        </w:rPr>
        <w:t>deploys</w:t>
      </w:r>
      <w:r w:rsidR="001E67D5" w:rsidRPr="00EC1A75">
        <w:rPr>
          <w:rFonts w:asciiTheme="minorHAnsi" w:hAnsiTheme="minorHAnsi" w:cstheme="minorHAnsi"/>
          <w:sz w:val="24"/>
          <w:szCs w:val="24"/>
        </w:rPr>
        <w:t xml:space="preserve">, </w:t>
      </w:r>
      <w:r w:rsidR="00C16466" w:rsidRPr="00EC1A75">
        <w:rPr>
          <w:rFonts w:asciiTheme="minorHAnsi" w:hAnsiTheme="minorHAnsi" w:cstheme="minorHAnsi"/>
          <w:sz w:val="24"/>
          <w:szCs w:val="24"/>
        </w:rPr>
        <w:t xml:space="preserve">the following </w:t>
      </w:r>
      <w:r w:rsidR="001E67D5" w:rsidRPr="00EC1A75">
        <w:rPr>
          <w:rFonts w:asciiTheme="minorHAnsi" w:hAnsiTheme="minorHAnsi" w:cstheme="minorHAnsi"/>
          <w:sz w:val="24"/>
          <w:szCs w:val="24"/>
        </w:rPr>
        <w:t xml:space="preserve">unchanged </w:t>
      </w:r>
      <w:r w:rsidR="00C16466" w:rsidRPr="00EC1A75">
        <w:rPr>
          <w:rFonts w:asciiTheme="minorHAnsi" w:hAnsiTheme="minorHAnsi" w:cstheme="minorHAnsi"/>
          <w:sz w:val="24"/>
          <w:szCs w:val="24"/>
        </w:rPr>
        <w:t>methodology drawn from the 2008 Study to establish the need for off-port storage:</w:t>
      </w:r>
    </w:p>
    <w:p w14:paraId="28B1B45B" w14:textId="71A2E66C" w:rsidR="001E67D5" w:rsidRPr="00EC1A75" w:rsidRDefault="0087698B" w:rsidP="00E20D72">
      <w:pPr>
        <w:spacing w:after="0"/>
        <w:ind w:left="426"/>
        <w:jc w:val="both"/>
        <w:rPr>
          <w:rFonts w:asciiTheme="minorHAnsi" w:hAnsiTheme="minorHAnsi" w:cstheme="minorHAnsi"/>
          <w:sz w:val="24"/>
          <w:szCs w:val="24"/>
        </w:rPr>
      </w:pPr>
      <w:r w:rsidRPr="00EC1A75">
        <w:rPr>
          <w:rFonts w:asciiTheme="minorHAnsi" w:hAnsiTheme="minorHAnsi" w:cstheme="minorHAnsi"/>
          <w:noProof/>
          <w:sz w:val="24"/>
          <w:szCs w:val="24"/>
          <w:lang w:eastAsia="en-GB"/>
        </w:rPr>
        <w:lastRenderedPageBreak/>
        <w:drawing>
          <wp:inline distT="0" distB="0" distL="0" distR="0" wp14:anchorId="3CC0C214" wp14:editId="0FE57AC1">
            <wp:extent cx="546735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3132" t="10651" r="35085" b="43402"/>
                    <a:stretch>
                      <a:fillRect/>
                    </a:stretch>
                  </pic:blipFill>
                  <pic:spPr bwMode="auto">
                    <a:xfrm>
                      <a:off x="0" y="0"/>
                      <a:ext cx="5467350" cy="3467100"/>
                    </a:xfrm>
                    <a:prstGeom prst="rect">
                      <a:avLst/>
                    </a:prstGeom>
                    <a:noFill/>
                    <a:ln>
                      <a:noFill/>
                    </a:ln>
                  </pic:spPr>
                </pic:pic>
              </a:graphicData>
            </a:graphic>
          </wp:inline>
        </w:drawing>
      </w:r>
      <w:r w:rsidR="00C16466" w:rsidRPr="00EC1A75">
        <w:rPr>
          <w:rFonts w:asciiTheme="minorHAnsi" w:hAnsiTheme="minorHAnsi" w:cstheme="minorHAnsi"/>
          <w:sz w:val="24"/>
          <w:szCs w:val="24"/>
        </w:rPr>
        <w:t xml:space="preserve"> </w:t>
      </w:r>
    </w:p>
    <w:p w14:paraId="13CAC1FE" w14:textId="03211EC2" w:rsidR="00E43077" w:rsidRPr="00EC1A75" w:rsidRDefault="00E43077" w:rsidP="00E20D72">
      <w:pPr>
        <w:numPr>
          <w:ilvl w:val="1"/>
          <w:numId w:val="9"/>
        </w:numPr>
        <w:spacing w:after="0"/>
        <w:jc w:val="both"/>
        <w:rPr>
          <w:rFonts w:asciiTheme="minorHAnsi" w:eastAsia="Times New Roman" w:hAnsiTheme="minorHAnsi" w:cstheme="minorHAnsi"/>
          <w:sz w:val="24"/>
          <w:szCs w:val="24"/>
          <w:lang w:eastAsia="en-GB"/>
        </w:rPr>
      </w:pPr>
      <w:r w:rsidRPr="00EC1A75">
        <w:rPr>
          <w:rFonts w:asciiTheme="minorHAnsi" w:hAnsiTheme="minorHAnsi" w:cstheme="minorHAnsi"/>
          <w:b/>
          <w:sz w:val="24"/>
          <w:szCs w:val="24"/>
        </w:rPr>
        <w:t xml:space="preserve"> Transhipment</w:t>
      </w:r>
    </w:p>
    <w:p w14:paraId="6480E88A" w14:textId="77777777" w:rsidR="00E43077" w:rsidRPr="00EC1A75" w:rsidRDefault="00E43077" w:rsidP="00E20D72">
      <w:pPr>
        <w:spacing w:after="0"/>
        <w:ind w:left="720"/>
        <w:jc w:val="both"/>
        <w:rPr>
          <w:rFonts w:asciiTheme="minorHAnsi" w:eastAsia="Times New Roman" w:hAnsiTheme="minorHAnsi" w:cstheme="minorHAnsi"/>
          <w:color w:val="C00000"/>
          <w:sz w:val="24"/>
          <w:szCs w:val="24"/>
          <w:lang w:eastAsia="en-GB"/>
        </w:rPr>
      </w:pPr>
    </w:p>
    <w:p w14:paraId="0F5853BE" w14:textId="7175B57D" w:rsidR="00E43077" w:rsidRPr="00EC1A75" w:rsidRDefault="00E43077" w:rsidP="00E20D72">
      <w:pPr>
        <w:spacing w:after="0"/>
        <w:ind w:left="426"/>
        <w:jc w:val="both"/>
        <w:rPr>
          <w:rFonts w:asciiTheme="minorHAnsi" w:hAnsiTheme="minorHAnsi" w:cstheme="minorHAnsi"/>
          <w:sz w:val="24"/>
          <w:szCs w:val="24"/>
        </w:rPr>
      </w:pPr>
      <w:r w:rsidRPr="00EC1A75">
        <w:rPr>
          <w:rFonts w:asciiTheme="minorHAnsi" w:hAnsiTheme="minorHAnsi" w:cstheme="minorHAnsi"/>
          <w:sz w:val="24"/>
          <w:szCs w:val="24"/>
        </w:rPr>
        <w:t>T</w:t>
      </w:r>
      <w:r w:rsidR="00C16466" w:rsidRPr="00EC1A75">
        <w:rPr>
          <w:rFonts w:asciiTheme="minorHAnsi" w:hAnsiTheme="minorHAnsi" w:cstheme="minorHAnsi"/>
          <w:sz w:val="24"/>
          <w:szCs w:val="24"/>
        </w:rPr>
        <w:t>his is a crucial variable directly affecting the volume of TEUs to be handled by land</w:t>
      </w:r>
      <w:r w:rsidRPr="00EC1A75">
        <w:rPr>
          <w:rFonts w:asciiTheme="minorHAnsi" w:hAnsiTheme="minorHAnsi" w:cstheme="minorHAnsi"/>
          <w:sz w:val="24"/>
          <w:szCs w:val="24"/>
        </w:rPr>
        <w:t xml:space="preserve"> </w:t>
      </w:r>
      <w:r w:rsidR="00C16466" w:rsidRPr="00EC1A75">
        <w:rPr>
          <w:rFonts w:asciiTheme="minorHAnsi" w:hAnsiTheme="minorHAnsi" w:cstheme="minorHAnsi"/>
          <w:sz w:val="24"/>
          <w:szCs w:val="24"/>
        </w:rPr>
        <w:t>connections. The value assumed, 10%, was established from pre-existing data in 2008.  In the years since, the size of the biggest ships has almost doubled and the potential for transhipment would appear to have increased. It would have been reasonable not only to re-establish the validity of the 10% but also to carry out sensitivity analysis</w:t>
      </w:r>
      <w:r w:rsidRPr="00EC1A75">
        <w:rPr>
          <w:rFonts w:asciiTheme="minorHAnsi" w:hAnsiTheme="minorHAnsi" w:cstheme="minorHAnsi"/>
          <w:sz w:val="24"/>
          <w:szCs w:val="24"/>
        </w:rPr>
        <w:t>,</w:t>
      </w:r>
      <w:r w:rsidR="00C16466" w:rsidRPr="00EC1A75">
        <w:rPr>
          <w:rFonts w:asciiTheme="minorHAnsi" w:hAnsiTheme="minorHAnsi" w:cstheme="minorHAnsi"/>
          <w:sz w:val="24"/>
          <w:szCs w:val="24"/>
        </w:rPr>
        <w:t xml:space="preserve"> particularly in view of the 2036 timescale. </w:t>
      </w:r>
    </w:p>
    <w:p w14:paraId="77AE36B5" w14:textId="77777777" w:rsidR="00E43077" w:rsidRPr="00EC1A75" w:rsidRDefault="00E43077" w:rsidP="00E20D72">
      <w:pPr>
        <w:spacing w:after="0"/>
        <w:ind w:left="426"/>
        <w:jc w:val="both"/>
        <w:rPr>
          <w:rFonts w:asciiTheme="minorHAnsi" w:hAnsiTheme="minorHAnsi" w:cstheme="minorHAnsi"/>
          <w:b/>
          <w:sz w:val="24"/>
          <w:szCs w:val="24"/>
        </w:rPr>
      </w:pPr>
    </w:p>
    <w:p w14:paraId="2E409569" w14:textId="7EB0A61F" w:rsidR="00E43077" w:rsidRPr="00EC1A75" w:rsidRDefault="00C16466" w:rsidP="00E20D72">
      <w:pPr>
        <w:numPr>
          <w:ilvl w:val="1"/>
          <w:numId w:val="9"/>
        </w:numPr>
        <w:spacing w:after="0"/>
        <w:jc w:val="both"/>
        <w:rPr>
          <w:rFonts w:asciiTheme="minorHAnsi" w:hAnsiTheme="minorHAnsi" w:cstheme="minorHAnsi"/>
          <w:sz w:val="24"/>
          <w:szCs w:val="24"/>
        </w:rPr>
      </w:pPr>
      <w:r w:rsidRPr="00EC1A75">
        <w:rPr>
          <w:rFonts w:asciiTheme="minorHAnsi" w:hAnsiTheme="minorHAnsi" w:cstheme="minorHAnsi"/>
          <w:b/>
          <w:sz w:val="24"/>
          <w:szCs w:val="24"/>
        </w:rPr>
        <w:t>Rail</w:t>
      </w:r>
      <w:r w:rsidRPr="00EC1A75">
        <w:rPr>
          <w:rFonts w:asciiTheme="minorHAnsi" w:hAnsiTheme="minorHAnsi" w:cstheme="minorHAnsi"/>
          <w:sz w:val="24"/>
          <w:szCs w:val="24"/>
        </w:rPr>
        <w:t xml:space="preserve"> </w:t>
      </w:r>
    </w:p>
    <w:p w14:paraId="4BCD3369" w14:textId="77777777" w:rsidR="00E43077" w:rsidRPr="00EC1A75" w:rsidRDefault="00E43077" w:rsidP="00E20D72">
      <w:pPr>
        <w:spacing w:after="0"/>
        <w:ind w:left="720"/>
        <w:jc w:val="both"/>
        <w:rPr>
          <w:rFonts w:asciiTheme="minorHAnsi" w:hAnsiTheme="minorHAnsi" w:cstheme="minorHAnsi"/>
          <w:sz w:val="24"/>
          <w:szCs w:val="24"/>
        </w:rPr>
      </w:pPr>
    </w:p>
    <w:p w14:paraId="302A125C" w14:textId="7EAE177B" w:rsidR="00C16466" w:rsidRPr="00EC1A75" w:rsidRDefault="00E43077" w:rsidP="0087698B">
      <w:pPr>
        <w:spacing w:after="0"/>
        <w:ind w:left="426"/>
        <w:jc w:val="both"/>
        <w:rPr>
          <w:rFonts w:asciiTheme="minorHAnsi" w:hAnsiTheme="minorHAnsi" w:cstheme="minorHAnsi"/>
          <w:sz w:val="24"/>
          <w:szCs w:val="24"/>
        </w:rPr>
      </w:pPr>
      <w:r w:rsidRPr="00EC1A75">
        <w:rPr>
          <w:rFonts w:asciiTheme="minorHAnsi" w:hAnsiTheme="minorHAnsi" w:cstheme="minorHAnsi"/>
          <w:sz w:val="24"/>
          <w:szCs w:val="24"/>
        </w:rPr>
        <w:t>T</w:t>
      </w:r>
      <w:r w:rsidR="00C16466" w:rsidRPr="00EC1A75">
        <w:rPr>
          <w:rFonts w:asciiTheme="minorHAnsi" w:hAnsiTheme="minorHAnsi" w:cstheme="minorHAnsi"/>
          <w:sz w:val="24"/>
          <w:szCs w:val="24"/>
        </w:rPr>
        <w:t>he 2018 Study</w:t>
      </w:r>
      <w:r w:rsidRPr="00EC1A75">
        <w:rPr>
          <w:rFonts w:asciiTheme="minorHAnsi" w:hAnsiTheme="minorHAnsi" w:cstheme="minorHAnsi"/>
          <w:sz w:val="24"/>
          <w:szCs w:val="24"/>
        </w:rPr>
        <w:t>,</w:t>
      </w:r>
      <w:r w:rsidR="00C16466" w:rsidRPr="00EC1A75">
        <w:rPr>
          <w:rFonts w:asciiTheme="minorHAnsi" w:hAnsiTheme="minorHAnsi" w:cstheme="minorHAnsi"/>
          <w:sz w:val="24"/>
          <w:szCs w:val="24"/>
        </w:rPr>
        <w:t xml:space="preserve"> in assuming 25% as the volume of land connection traffic to be carried by rail</w:t>
      </w:r>
      <w:r w:rsidRPr="00EC1A75">
        <w:rPr>
          <w:rFonts w:asciiTheme="minorHAnsi" w:hAnsiTheme="minorHAnsi" w:cstheme="minorHAnsi"/>
          <w:sz w:val="24"/>
          <w:szCs w:val="24"/>
        </w:rPr>
        <w:t>,</w:t>
      </w:r>
      <w:r w:rsidR="00C16466" w:rsidRPr="00EC1A75">
        <w:rPr>
          <w:rFonts w:asciiTheme="minorHAnsi" w:hAnsiTheme="minorHAnsi" w:cstheme="minorHAnsi"/>
          <w:sz w:val="24"/>
          <w:szCs w:val="24"/>
        </w:rPr>
        <w:t xml:space="preserve"> is once again drawing on its predecessor. At para 1.17 it says</w:t>
      </w:r>
      <w:r w:rsidR="00C16466" w:rsidRPr="00EC1A75">
        <w:rPr>
          <w:rFonts w:asciiTheme="minorHAnsi" w:hAnsiTheme="minorHAnsi" w:cstheme="minorHAnsi"/>
          <w:color w:val="C00000"/>
          <w:sz w:val="24"/>
          <w:szCs w:val="24"/>
        </w:rPr>
        <w:t xml:space="preserve">: </w:t>
      </w:r>
      <w:r w:rsidR="00C16466" w:rsidRPr="00EC1A75">
        <w:rPr>
          <w:rFonts w:asciiTheme="minorHAnsi" w:hAnsiTheme="minorHAnsi" w:cstheme="minorHAnsi"/>
          <w:i/>
          <w:color w:val="C00000"/>
          <w:sz w:val="24"/>
          <w:szCs w:val="24"/>
        </w:rPr>
        <w:t>“</w:t>
      </w:r>
      <w:r w:rsidR="00C16466" w:rsidRPr="00EC1A75">
        <w:rPr>
          <w:rFonts w:asciiTheme="minorHAnsi" w:eastAsia="Times New Roman" w:hAnsiTheme="minorHAnsi" w:cstheme="minorHAnsi"/>
          <w:i/>
          <w:color w:val="C00000"/>
          <w:sz w:val="24"/>
          <w:szCs w:val="24"/>
          <w:lang w:eastAsia="en-GB"/>
        </w:rPr>
        <w:t>The terms of reference for this study do not require specific consideration of the implications of future growth at the Port of Felixstowe upon rail freight cargo capacity”.</w:t>
      </w:r>
      <w:r w:rsidR="00C16466" w:rsidRPr="00EC1A75">
        <w:rPr>
          <w:rFonts w:asciiTheme="minorHAnsi" w:eastAsia="Times New Roman" w:hAnsiTheme="minorHAnsi" w:cstheme="minorHAnsi"/>
          <w:color w:val="C00000"/>
          <w:sz w:val="24"/>
          <w:szCs w:val="24"/>
          <w:lang w:eastAsia="en-GB"/>
        </w:rPr>
        <w:t xml:space="preserve"> </w:t>
      </w:r>
      <w:r w:rsidR="00C16466" w:rsidRPr="00EC1A75">
        <w:rPr>
          <w:rFonts w:asciiTheme="minorHAnsi" w:eastAsia="Times New Roman" w:hAnsiTheme="minorHAnsi" w:cstheme="minorHAnsi"/>
          <w:sz w:val="24"/>
          <w:szCs w:val="24"/>
          <w:lang w:eastAsia="en-GB"/>
        </w:rPr>
        <w:t>Consequently</w:t>
      </w:r>
      <w:r w:rsidRPr="00EC1A75">
        <w:rPr>
          <w:rFonts w:asciiTheme="minorHAnsi" w:eastAsia="Times New Roman" w:hAnsiTheme="minorHAnsi" w:cstheme="minorHAnsi"/>
          <w:sz w:val="24"/>
          <w:szCs w:val="24"/>
          <w:lang w:eastAsia="en-GB"/>
        </w:rPr>
        <w:t>,</w:t>
      </w:r>
      <w:r w:rsidR="00C16466" w:rsidRPr="00EC1A75">
        <w:rPr>
          <w:rFonts w:asciiTheme="minorHAnsi" w:eastAsia="Times New Roman" w:hAnsiTheme="minorHAnsi" w:cstheme="minorHAnsi"/>
          <w:sz w:val="24"/>
          <w:szCs w:val="24"/>
          <w:lang w:eastAsia="en-GB"/>
        </w:rPr>
        <w:t xml:space="preserve"> the Study does not reflect the 42%</w:t>
      </w:r>
      <w:r w:rsidRPr="00EC1A75">
        <w:rPr>
          <w:rFonts w:asciiTheme="minorHAnsi" w:hAnsiTheme="minorHAnsi" w:cstheme="minorHAnsi"/>
          <w:sz w:val="24"/>
          <w:szCs w:val="24"/>
        </w:rPr>
        <w:t xml:space="preserve"> </w:t>
      </w:r>
      <w:r w:rsidR="00C16466" w:rsidRPr="00EC1A75">
        <w:rPr>
          <w:rFonts w:asciiTheme="minorHAnsi" w:eastAsia="Times New Roman" w:hAnsiTheme="minorHAnsi" w:cstheme="minorHAnsi"/>
          <w:sz w:val="24"/>
          <w:szCs w:val="24"/>
          <w:lang w:eastAsia="en-GB"/>
        </w:rPr>
        <w:t>increase in rail capacity it later refers to in Table 2.19 below:</w:t>
      </w:r>
    </w:p>
    <w:p w14:paraId="590F2D42" w14:textId="4DECCECD" w:rsidR="00C16466" w:rsidRPr="00EC1A75" w:rsidRDefault="0087698B" w:rsidP="00E20D72">
      <w:pPr>
        <w:spacing w:after="0"/>
        <w:jc w:val="both"/>
        <w:rPr>
          <w:rFonts w:asciiTheme="minorHAnsi" w:eastAsia="Times New Roman" w:hAnsiTheme="minorHAnsi" w:cstheme="minorHAnsi"/>
          <w:sz w:val="24"/>
          <w:szCs w:val="24"/>
          <w:lang w:eastAsia="en-GB"/>
        </w:rPr>
      </w:pPr>
      <w:r w:rsidRPr="00EC1A75">
        <w:rPr>
          <w:rFonts w:asciiTheme="minorHAnsi" w:hAnsiTheme="minorHAnsi" w:cstheme="minorHAnsi"/>
          <w:noProof/>
          <w:sz w:val="24"/>
          <w:szCs w:val="24"/>
        </w:rPr>
        <w:lastRenderedPageBreak/>
        <w:drawing>
          <wp:anchor distT="0" distB="0" distL="114300" distR="114300" simplePos="0" relativeHeight="251657216" behindDoc="0" locked="0" layoutInCell="1" allowOverlap="1" wp14:anchorId="0EA7EF5D" wp14:editId="07FE9D7F">
            <wp:simplePos x="0" y="0"/>
            <wp:positionH relativeFrom="column">
              <wp:align>left</wp:align>
            </wp:positionH>
            <wp:positionV relativeFrom="paragraph">
              <wp:align>top</wp:align>
            </wp:positionV>
            <wp:extent cx="5314315" cy="2924175"/>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3428" t="22189" r="33495" b="35527"/>
                    <a:stretch>
                      <a:fillRect/>
                    </a:stretch>
                  </pic:blipFill>
                  <pic:spPr bwMode="auto">
                    <a:xfrm>
                      <a:off x="0" y="0"/>
                      <a:ext cx="5314315" cy="2924175"/>
                    </a:xfrm>
                    <a:prstGeom prst="rect">
                      <a:avLst/>
                    </a:prstGeom>
                    <a:noFill/>
                  </pic:spPr>
                </pic:pic>
              </a:graphicData>
            </a:graphic>
            <wp14:sizeRelH relativeFrom="margin">
              <wp14:pctWidth>0</wp14:pctWidth>
            </wp14:sizeRelH>
            <wp14:sizeRelV relativeFrom="margin">
              <wp14:pctHeight>0</wp14:pctHeight>
            </wp14:sizeRelV>
          </wp:anchor>
        </w:drawing>
      </w:r>
    </w:p>
    <w:p w14:paraId="36483503" w14:textId="750689C6" w:rsidR="00C16466" w:rsidRPr="00EC1A75" w:rsidRDefault="00C16466" w:rsidP="00E20D72">
      <w:pPr>
        <w:spacing w:after="0"/>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Logically, any increase in the percentage of TEUs carried by rail would reduce the percentage</w:t>
      </w:r>
      <w:r w:rsidR="00E43077"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carried by road consequently reducing the need for off-port land.  Excluding the effect of a</w:t>
      </w:r>
      <w:r w:rsidR="00E43077"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major increase in rail capacity seriously undermines the conclusions of the 2018 Study.</w:t>
      </w:r>
    </w:p>
    <w:p w14:paraId="0B268D7C" w14:textId="77777777" w:rsidR="00C16466" w:rsidRPr="00EC1A75" w:rsidRDefault="00C16466" w:rsidP="00E20D72">
      <w:pPr>
        <w:spacing w:after="0"/>
        <w:jc w:val="both"/>
        <w:rPr>
          <w:rFonts w:asciiTheme="minorHAnsi" w:eastAsia="Times New Roman" w:hAnsiTheme="minorHAnsi" w:cstheme="minorHAnsi"/>
          <w:sz w:val="24"/>
          <w:szCs w:val="24"/>
          <w:lang w:eastAsia="en-GB"/>
        </w:rPr>
      </w:pPr>
    </w:p>
    <w:p w14:paraId="467E203A" w14:textId="7D4B059D" w:rsidR="00E43077" w:rsidRPr="00EC1A75" w:rsidRDefault="00C16466" w:rsidP="00E20D72">
      <w:pPr>
        <w:numPr>
          <w:ilvl w:val="0"/>
          <w:numId w:val="9"/>
        </w:numPr>
        <w:spacing w:after="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Converting Off-Port TEU Volumes to Land Requirements</w:t>
      </w:r>
    </w:p>
    <w:p w14:paraId="42234402" w14:textId="77777777" w:rsidR="00E43077" w:rsidRPr="00EC1A75" w:rsidRDefault="00E43077" w:rsidP="00E20D72">
      <w:pPr>
        <w:spacing w:after="0"/>
        <w:ind w:left="720"/>
        <w:jc w:val="both"/>
        <w:rPr>
          <w:rFonts w:asciiTheme="minorHAnsi" w:eastAsia="Times New Roman" w:hAnsiTheme="minorHAnsi" w:cstheme="minorHAnsi"/>
          <w:b/>
          <w:sz w:val="24"/>
          <w:szCs w:val="24"/>
          <w:lang w:eastAsia="en-GB"/>
        </w:rPr>
      </w:pPr>
    </w:p>
    <w:p w14:paraId="610E75E8" w14:textId="605E9603" w:rsidR="00C16466" w:rsidRPr="00EC1A75" w:rsidRDefault="00C16466" w:rsidP="00E20D72">
      <w:pPr>
        <w:numPr>
          <w:ilvl w:val="0"/>
          <w:numId w:val="9"/>
        </w:numPr>
        <w:spacing w:after="0"/>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 xml:space="preserve"> </w:t>
      </w:r>
      <w:r w:rsidR="00E43077" w:rsidRPr="00EC1A75">
        <w:rPr>
          <w:rFonts w:asciiTheme="minorHAnsi" w:eastAsia="Times New Roman" w:hAnsiTheme="minorHAnsi" w:cstheme="minorHAnsi"/>
          <w:sz w:val="24"/>
          <w:szCs w:val="24"/>
          <w:lang w:eastAsia="en-GB"/>
        </w:rPr>
        <w:t>T</w:t>
      </w:r>
      <w:r w:rsidRPr="00EC1A75">
        <w:rPr>
          <w:rFonts w:asciiTheme="minorHAnsi" w:eastAsia="Times New Roman" w:hAnsiTheme="minorHAnsi" w:cstheme="minorHAnsi"/>
          <w:sz w:val="24"/>
          <w:szCs w:val="24"/>
          <w:lang w:eastAsia="en-GB"/>
        </w:rPr>
        <w:t xml:space="preserve">aking the 30% of forecast Felixstowe TEU volumes assumed to require off-port handling, the 2018 Study then </w:t>
      </w:r>
      <w:r w:rsidR="00E43077" w:rsidRPr="00EC1A75">
        <w:rPr>
          <w:rFonts w:asciiTheme="minorHAnsi" w:eastAsia="Times New Roman" w:hAnsiTheme="minorHAnsi" w:cstheme="minorHAnsi"/>
          <w:sz w:val="24"/>
          <w:szCs w:val="24"/>
          <w:lang w:eastAsia="en-GB"/>
        </w:rPr>
        <w:t>assumes</w:t>
      </w:r>
      <w:r w:rsidRPr="00EC1A75">
        <w:rPr>
          <w:rFonts w:asciiTheme="minorHAnsi" w:eastAsia="Times New Roman" w:hAnsiTheme="minorHAnsi" w:cstheme="minorHAnsi"/>
          <w:sz w:val="24"/>
          <w:szCs w:val="24"/>
          <w:lang w:eastAsia="en-GB"/>
        </w:rPr>
        <w:t xml:space="preserve"> the split between warehousing at 87.8% and open storage at 12.2%.  The paper acknowledges this split is lifted from the 2008 Study. The 2008 Study conducted an in-depth analysis of the</w:t>
      </w:r>
      <w:r w:rsidR="00E43077"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existing land supply</w:t>
      </w:r>
      <w:r w:rsidR="00E43077" w:rsidRPr="00EC1A75">
        <w:rPr>
          <w:rFonts w:asciiTheme="minorHAnsi" w:eastAsia="Times New Roman" w:hAnsiTheme="minorHAnsi" w:cstheme="minorHAnsi"/>
          <w:sz w:val="24"/>
          <w:szCs w:val="24"/>
          <w:lang w:eastAsia="en-GB"/>
        </w:rPr>
        <w:t xml:space="preserve"> at the time, which was</w:t>
      </w:r>
      <w:r w:rsidRPr="00EC1A75">
        <w:rPr>
          <w:rFonts w:asciiTheme="minorHAnsi" w:eastAsia="Times New Roman" w:hAnsiTheme="minorHAnsi" w:cstheme="minorHAnsi"/>
          <w:sz w:val="24"/>
          <w:szCs w:val="24"/>
          <w:lang w:eastAsia="en-GB"/>
        </w:rPr>
        <w:t xml:space="preserve"> within 30 miles of the Port</w:t>
      </w:r>
      <w:r w:rsidR="00E43077" w:rsidRPr="00EC1A75">
        <w:rPr>
          <w:rFonts w:asciiTheme="minorHAnsi" w:eastAsia="Times New Roman" w:hAnsiTheme="minorHAnsi" w:cstheme="minorHAnsi"/>
          <w:sz w:val="24"/>
          <w:szCs w:val="24"/>
          <w:lang w:eastAsia="en-GB"/>
        </w:rPr>
        <w:t>,</w:t>
      </w:r>
      <w:r w:rsidRPr="00EC1A75">
        <w:rPr>
          <w:rFonts w:asciiTheme="minorHAnsi" w:eastAsia="Times New Roman" w:hAnsiTheme="minorHAnsi" w:cstheme="minorHAnsi"/>
          <w:sz w:val="24"/>
          <w:szCs w:val="24"/>
          <w:lang w:eastAsia="en-GB"/>
        </w:rPr>
        <w:t xml:space="preserve"> but the calculation leading to that precise split is not apparent. In any case, revisiting the analysis in 2018 would have been merited given the passage of time.</w:t>
      </w:r>
    </w:p>
    <w:p w14:paraId="02CE3767" w14:textId="77777777" w:rsidR="00C16466" w:rsidRPr="00EC1A75" w:rsidRDefault="00C16466" w:rsidP="00E20D72">
      <w:pPr>
        <w:spacing w:after="0"/>
        <w:jc w:val="both"/>
        <w:rPr>
          <w:rFonts w:asciiTheme="minorHAnsi" w:eastAsia="Times New Roman" w:hAnsiTheme="minorHAnsi" w:cstheme="minorHAnsi"/>
          <w:sz w:val="24"/>
          <w:szCs w:val="24"/>
          <w:lang w:eastAsia="en-GB"/>
        </w:rPr>
      </w:pPr>
    </w:p>
    <w:p w14:paraId="49AEBBEE" w14:textId="5E7CCB92" w:rsidR="004E16EF" w:rsidRPr="00EC1A75" w:rsidRDefault="00C16466" w:rsidP="00E20D72">
      <w:pPr>
        <w:numPr>
          <w:ilvl w:val="0"/>
          <w:numId w:val="9"/>
        </w:numPr>
        <w:spacing w:after="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 xml:space="preserve">Land Required </w:t>
      </w:r>
      <w:proofErr w:type="gramStart"/>
      <w:r w:rsidRPr="00EC1A75">
        <w:rPr>
          <w:rFonts w:asciiTheme="minorHAnsi" w:eastAsia="Times New Roman" w:hAnsiTheme="minorHAnsi" w:cstheme="minorHAnsi"/>
          <w:b/>
          <w:sz w:val="24"/>
          <w:szCs w:val="24"/>
          <w:lang w:eastAsia="en-GB"/>
        </w:rPr>
        <w:t>For</w:t>
      </w:r>
      <w:proofErr w:type="gramEnd"/>
      <w:r w:rsidRPr="00EC1A75">
        <w:rPr>
          <w:rFonts w:asciiTheme="minorHAnsi" w:eastAsia="Times New Roman" w:hAnsiTheme="minorHAnsi" w:cstheme="minorHAnsi"/>
          <w:b/>
          <w:sz w:val="24"/>
          <w:szCs w:val="24"/>
          <w:lang w:eastAsia="en-GB"/>
        </w:rPr>
        <w:t xml:space="preserve"> Container Storage &amp; Warehousing</w:t>
      </w:r>
    </w:p>
    <w:p w14:paraId="6019F59E" w14:textId="3F347071" w:rsidR="004E16EF" w:rsidRPr="00EC1A75" w:rsidRDefault="00C16466" w:rsidP="00E20D72">
      <w:pPr>
        <w:spacing w:after="0"/>
        <w:ind w:left="72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 xml:space="preserve"> </w:t>
      </w:r>
    </w:p>
    <w:p w14:paraId="04BB6F53" w14:textId="77777777" w:rsidR="004E16EF" w:rsidRPr="00EC1A75" w:rsidRDefault="004E16EF" w:rsidP="00E20D72">
      <w:pPr>
        <w:spacing w:after="0"/>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b/>
          <w:sz w:val="24"/>
          <w:szCs w:val="24"/>
          <w:lang w:eastAsia="en-GB"/>
        </w:rPr>
        <w:t>T</w:t>
      </w:r>
      <w:r w:rsidR="00C16466" w:rsidRPr="00EC1A75">
        <w:rPr>
          <w:rFonts w:asciiTheme="minorHAnsi" w:eastAsia="Times New Roman" w:hAnsiTheme="minorHAnsi" w:cstheme="minorHAnsi"/>
          <w:sz w:val="24"/>
          <w:szCs w:val="24"/>
          <w:lang w:eastAsia="en-GB"/>
        </w:rPr>
        <w:t xml:space="preserve">his is </w:t>
      </w:r>
      <w:r w:rsidRPr="00EC1A75">
        <w:rPr>
          <w:rFonts w:asciiTheme="minorHAnsi" w:eastAsia="Times New Roman" w:hAnsiTheme="minorHAnsi" w:cstheme="minorHAnsi"/>
          <w:sz w:val="24"/>
          <w:szCs w:val="24"/>
          <w:lang w:eastAsia="en-GB"/>
        </w:rPr>
        <w:t xml:space="preserve">such </w:t>
      </w:r>
      <w:r w:rsidR="00C16466" w:rsidRPr="00EC1A75">
        <w:rPr>
          <w:rFonts w:asciiTheme="minorHAnsi" w:eastAsia="Times New Roman" w:hAnsiTheme="minorHAnsi" w:cstheme="minorHAnsi"/>
          <w:sz w:val="24"/>
          <w:szCs w:val="24"/>
          <w:lang w:eastAsia="en-GB"/>
        </w:rPr>
        <w:t>a complex and specialist field</w:t>
      </w:r>
      <w:r w:rsidRPr="00EC1A75">
        <w:rPr>
          <w:rFonts w:asciiTheme="minorHAnsi" w:eastAsia="Times New Roman" w:hAnsiTheme="minorHAnsi" w:cstheme="minorHAnsi"/>
          <w:sz w:val="24"/>
          <w:szCs w:val="24"/>
          <w:lang w:eastAsia="en-GB"/>
        </w:rPr>
        <w:t>,</w:t>
      </w:r>
      <w:r w:rsidR="00C16466" w:rsidRPr="00EC1A75">
        <w:rPr>
          <w:rFonts w:asciiTheme="minorHAnsi" w:eastAsia="Times New Roman" w:hAnsiTheme="minorHAnsi" w:cstheme="minorHAnsi"/>
          <w:sz w:val="24"/>
          <w:szCs w:val="24"/>
          <w:lang w:eastAsia="en-GB"/>
        </w:rPr>
        <w:t xml:space="preserve"> embracing technical parameters such as</w:t>
      </w:r>
      <w:r w:rsidRPr="00EC1A75">
        <w:rPr>
          <w:rFonts w:asciiTheme="minorHAnsi" w:eastAsia="Times New Roman" w:hAnsiTheme="minorHAnsi" w:cstheme="minorHAnsi"/>
          <w:sz w:val="24"/>
          <w:szCs w:val="24"/>
          <w:lang w:eastAsia="en-GB"/>
        </w:rPr>
        <w:t xml:space="preserve"> (i)</w:t>
      </w:r>
      <w:r w:rsidR="00C16466" w:rsidRPr="00EC1A75">
        <w:rPr>
          <w:rFonts w:asciiTheme="minorHAnsi" w:eastAsia="Times New Roman" w:hAnsiTheme="minorHAnsi" w:cstheme="minorHAnsi"/>
          <w:sz w:val="24"/>
          <w:szCs w:val="24"/>
          <w:lang w:eastAsia="en-GB"/>
        </w:rPr>
        <w:t xml:space="preserve"> “dwell times” – how long a container stays in one position</w:t>
      </w:r>
      <w:r w:rsidRPr="00EC1A75">
        <w:rPr>
          <w:rFonts w:asciiTheme="minorHAnsi" w:eastAsia="Times New Roman" w:hAnsiTheme="minorHAnsi" w:cstheme="minorHAnsi"/>
          <w:sz w:val="24"/>
          <w:szCs w:val="24"/>
          <w:lang w:eastAsia="en-GB"/>
        </w:rPr>
        <w:t xml:space="preserve"> (ii)</w:t>
      </w:r>
      <w:r w:rsidR="00C16466" w:rsidRPr="00EC1A75">
        <w:rPr>
          <w:rFonts w:asciiTheme="minorHAnsi" w:eastAsia="Times New Roman" w:hAnsiTheme="minorHAnsi" w:cstheme="minorHAnsi"/>
          <w:sz w:val="24"/>
          <w:szCs w:val="24"/>
          <w:lang w:eastAsia="en-GB"/>
        </w:rPr>
        <w:t xml:space="preserve">“heights” – how tall containers are stacked, and </w:t>
      </w:r>
      <w:r w:rsidRPr="00EC1A75">
        <w:rPr>
          <w:rFonts w:asciiTheme="minorHAnsi" w:eastAsia="Times New Roman" w:hAnsiTheme="minorHAnsi" w:cstheme="minorHAnsi"/>
          <w:sz w:val="24"/>
          <w:szCs w:val="24"/>
          <w:lang w:eastAsia="en-GB"/>
        </w:rPr>
        <w:t xml:space="preserve">(iii) </w:t>
      </w:r>
      <w:r w:rsidR="00C16466" w:rsidRPr="00EC1A75">
        <w:rPr>
          <w:rFonts w:asciiTheme="minorHAnsi" w:eastAsia="Times New Roman" w:hAnsiTheme="minorHAnsi" w:cstheme="minorHAnsi"/>
          <w:sz w:val="24"/>
          <w:szCs w:val="24"/>
          <w:lang w:eastAsia="en-GB"/>
        </w:rPr>
        <w:t>“handling efficiency” for containers handled nearby and in port</w:t>
      </w:r>
      <w:r w:rsidRPr="00EC1A75">
        <w:rPr>
          <w:rFonts w:asciiTheme="minorHAnsi" w:eastAsia="Times New Roman" w:hAnsiTheme="minorHAnsi" w:cstheme="minorHAnsi"/>
          <w:sz w:val="24"/>
          <w:szCs w:val="24"/>
          <w:lang w:eastAsia="en-GB"/>
        </w:rPr>
        <w:t xml:space="preserve">, </w:t>
      </w:r>
      <w:r w:rsidR="00C16466" w:rsidRPr="00EC1A75">
        <w:rPr>
          <w:rFonts w:asciiTheme="minorHAnsi" w:eastAsia="Times New Roman" w:hAnsiTheme="minorHAnsi" w:cstheme="minorHAnsi"/>
          <w:sz w:val="24"/>
          <w:szCs w:val="24"/>
          <w:lang w:eastAsia="en-GB"/>
        </w:rPr>
        <w:t xml:space="preserve">that the 2008 Study established a model specifically to address the subject – see Annex D4. </w:t>
      </w:r>
    </w:p>
    <w:p w14:paraId="15F502EA" w14:textId="77777777" w:rsidR="004E16EF" w:rsidRPr="00EC1A75" w:rsidRDefault="004E16EF" w:rsidP="00E20D72">
      <w:pPr>
        <w:spacing w:after="0"/>
        <w:ind w:left="709"/>
        <w:jc w:val="both"/>
        <w:rPr>
          <w:rFonts w:asciiTheme="minorHAnsi" w:eastAsia="Times New Roman" w:hAnsiTheme="minorHAnsi" w:cstheme="minorHAnsi"/>
          <w:sz w:val="24"/>
          <w:szCs w:val="24"/>
          <w:lang w:eastAsia="en-GB"/>
        </w:rPr>
      </w:pPr>
    </w:p>
    <w:p w14:paraId="1AE3E3CB" w14:textId="25AA6BC4" w:rsidR="00C16466" w:rsidRPr="00EC1A75" w:rsidRDefault="00C16466" w:rsidP="00E20D72">
      <w:pPr>
        <w:spacing w:after="0"/>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By way of example, the then observed figures for container “dwell” were:</w:t>
      </w:r>
    </w:p>
    <w:p w14:paraId="33A6A7E8" w14:textId="77777777" w:rsidR="00C16466" w:rsidRPr="00EC1A75" w:rsidRDefault="00C16466" w:rsidP="00E20D72">
      <w:pPr>
        <w:spacing w:after="0" w:line="240" w:lineRule="auto"/>
        <w:ind w:left="709"/>
        <w:jc w:val="both"/>
        <w:rPr>
          <w:rFonts w:asciiTheme="minorHAnsi" w:eastAsia="Times New Roman" w:hAnsiTheme="minorHAnsi" w:cstheme="minorHAnsi"/>
          <w:i/>
          <w:color w:val="C00000"/>
          <w:sz w:val="24"/>
          <w:szCs w:val="24"/>
          <w:lang w:eastAsia="en-GB"/>
        </w:rPr>
      </w:pPr>
      <w:r w:rsidRPr="00EC1A75">
        <w:rPr>
          <w:rFonts w:asciiTheme="minorHAnsi" w:eastAsia="Times New Roman" w:hAnsiTheme="minorHAnsi" w:cstheme="minorHAnsi"/>
          <w:i/>
          <w:color w:val="C00000"/>
          <w:sz w:val="24"/>
          <w:szCs w:val="24"/>
          <w:lang w:eastAsia="en-GB"/>
        </w:rPr>
        <w:t xml:space="preserve">“Current efficiency scenario </w:t>
      </w:r>
    </w:p>
    <w:p w14:paraId="1B843BDC" w14:textId="77777777" w:rsidR="00C16466" w:rsidRPr="00EC1A75" w:rsidRDefault="00C16466" w:rsidP="00E20D72">
      <w:pPr>
        <w:spacing w:after="0" w:line="240" w:lineRule="auto"/>
        <w:ind w:left="709"/>
        <w:jc w:val="both"/>
        <w:rPr>
          <w:rFonts w:asciiTheme="minorHAnsi" w:eastAsia="Times New Roman" w:hAnsiTheme="minorHAnsi" w:cstheme="minorHAnsi"/>
          <w:i/>
          <w:color w:val="C00000"/>
          <w:sz w:val="24"/>
          <w:szCs w:val="24"/>
          <w:lang w:eastAsia="en-GB"/>
        </w:rPr>
      </w:pPr>
      <w:r w:rsidRPr="00EC1A75">
        <w:rPr>
          <w:rFonts w:asciiTheme="minorHAnsi" w:eastAsia="Times New Roman" w:hAnsiTheme="minorHAnsi" w:cstheme="minorHAnsi"/>
          <w:i/>
          <w:color w:val="C00000"/>
          <w:sz w:val="24"/>
          <w:szCs w:val="24"/>
          <w:lang w:eastAsia="en-GB"/>
        </w:rPr>
        <w:t xml:space="preserve">- Dwell times for current operations </w:t>
      </w:r>
      <w:r w:rsidRPr="00EC1A75">
        <w:rPr>
          <w:rFonts w:asciiTheme="minorHAnsi" w:eastAsia="Times New Roman" w:hAnsiTheme="minorHAnsi" w:cstheme="minorHAnsi"/>
          <w:i/>
          <w:color w:val="C00000"/>
          <w:sz w:val="24"/>
          <w:szCs w:val="24"/>
          <w:lang w:eastAsia="en-GB"/>
        </w:rPr>
        <w:tab/>
        <w:t xml:space="preserve">− 4.5 days on dock </w:t>
      </w:r>
    </w:p>
    <w:p w14:paraId="3AF932D3" w14:textId="77777777" w:rsidR="00C16466" w:rsidRPr="00EC1A75" w:rsidRDefault="00C16466" w:rsidP="00E20D72">
      <w:pPr>
        <w:spacing w:after="0" w:line="240" w:lineRule="auto"/>
        <w:ind w:left="709"/>
        <w:jc w:val="both"/>
        <w:rPr>
          <w:rFonts w:asciiTheme="minorHAnsi" w:eastAsia="Times New Roman" w:hAnsiTheme="minorHAnsi" w:cstheme="minorHAnsi"/>
          <w:i/>
          <w:color w:val="C00000"/>
          <w:sz w:val="24"/>
          <w:szCs w:val="24"/>
          <w:lang w:eastAsia="en-GB"/>
        </w:rPr>
      </w:pPr>
      <w:r w:rsidRPr="00EC1A75">
        <w:rPr>
          <w:rFonts w:asciiTheme="minorHAnsi" w:eastAsia="Times New Roman" w:hAnsiTheme="minorHAnsi" w:cstheme="minorHAnsi"/>
          <w:i/>
          <w:color w:val="C00000"/>
          <w:sz w:val="24"/>
          <w:szCs w:val="24"/>
          <w:lang w:eastAsia="en-GB"/>
        </w:rPr>
        <w:t xml:space="preserve">                                                          </w:t>
      </w:r>
      <w:r w:rsidRPr="00EC1A75">
        <w:rPr>
          <w:rFonts w:asciiTheme="minorHAnsi" w:eastAsia="Times New Roman" w:hAnsiTheme="minorHAnsi" w:cstheme="minorHAnsi"/>
          <w:i/>
          <w:color w:val="C00000"/>
          <w:sz w:val="24"/>
          <w:szCs w:val="24"/>
          <w:lang w:eastAsia="en-GB"/>
        </w:rPr>
        <w:tab/>
        <w:t xml:space="preserve">− 14 days on dock (unladen) </w:t>
      </w:r>
    </w:p>
    <w:p w14:paraId="051FA292" w14:textId="77777777" w:rsidR="00C16466" w:rsidRPr="00EC1A75" w:rsidRDefault="00C16466" w:rsidP="00E20D72">
      <w:pPr>
        <w:spacing w:after="0" w:line="240" w:lineRule="auto"/>
        <w:ind w:left="709"/>
        <w:jc w:val="both"/>
        <w:rPr>
          <w:rFonts w:asciiTheme="minorHAnsi" w:eastAsia="Times New Roman" w:hAnsiTheme="minorHAnsi" w:cstheme="minorHAnsi"/>
          <w:i/>
          <w:color w:val="C00000"/>
          <w:sz w:val="24"/>
          <w:szCs w:val="24"/>
          <w:lang w:eastAsia="en-GB"/>
        </w:rPr>
      </w:pPr>
      <w:r w:rsidRPr="00EC1A75">
        <w:rPr>
          <w:rFonts w:asciiTheme="minorHAnsi" w:eastAsia="Times New Roman" w:hAnsiTheme="minorHAnsi" w:cstheme="minorHAnsi"/>
          <w:i/>
          <w:color w:val="C00000"/>
          <w:sz w:val="24"/>
          <w:szCs w:val="24"/>
          <w:lang w:eastAsia="en-GB"/>
        </w:rPr>
        <w:t xml:space="preserve">- 30 days open container storage (laden)” </w:t>
      </w:r>
    </w:p>
    <w:p w14:paraId="29AC6D51" w14:textId="77777777" w:rsidR="00C16466" w:rsidRPr="00EC1A75" w:rsidRDefault="00C16466" w:rsidP="00E20D72">
      <w:pPr>
        <w:spacing w:after="0"/>
        <w:ind w:left="709"/>
        <w:jc w:val="both"/>
        <w:rPr>
          <w:rFonts w:asciiTheme="minorHAnsi" w:eastAsia="Times New Roman" w:hAnsiTheme="minorHAnsi" w:cstheme="minorHAnsi"/>
          <w:i/>
          <w:color w:val="C00000"/>
          <w:sz w:val="24"/>
          <w:szCs w:val="24"/>
          <w:lang w:eastAsia="en-GB"/>
        </w:rPr>
      </w:pPr>
      <w:r w:rsidRPr="00EC1A75">
        <w:rPr>
          <w:rFonts w:asciiTheme="minorHAnsi" w:eastAsia="Times New Roman" w:hAnsiTheme="minorHAnsi" w:cstheme="minorHAnsi"/>
          <w:sz w:val="24"/>
          <w:szCs w:val="24"/>
          <w:lang w:eastAsia="en-GB"/>
        </w:rPr>
        <w:lastRenderedPageBreak/>
        <w:t>The 2008 Study observed</w:t>
      </w:r>
      <w:r w:rsidRPr="00EC1A75">
        <w:rPr>
          <w:rFonts w:asciiTheme="minorHAnsi" w:eastAsia="Times New Roman" w:hAnsiTheme="minorHAnsi" w:cstheme="minorHAnsi"/>
          <w:i/>
          <w:color w:val="C00000"/>
          <w:sz w:val="24"/>
          <w:szCs w:val="24"/>
          <w:lang w:eastAsia="en-GB"/>
        </w:rPr>
        <w:t>: “The conclusion is therefore that the impact of altering dwell times at these facilities is significant, given the direct influence on capacity, and provides a large determinant in the model’s land demand output.”</w:t>
      </w:r>
    </w:p>
    <w:p w14:paraId="56EA91B1" w14:textId="45333E07" w:rsidR="00C16466" w:rsidRPr="00EC1A75" w:rsidRDefault="00C16466" w:rsidP="00E20D72">
      <w:pPr>
        <w:spacing w:after="0"/>
        <w:ind w:left="709"/>
        <w:jc w:val="both"/>
        <w:rPr>
          <w:rFonts w:asciiTheme="minorHAnsi" w:eastAsia="Times New Roman" w:hAnsiTheme="minorHAnsi" w:cstheme="minorHAnsi"/>
          <w:color w:val="C00000"/>
          <w:sz w:val="24"/>
          <w:szCs w:val="24"/>
          <w:lang w:eastAsia="en-GB"/>
        </w:rPr>
      </w:pPr>
      <w:r w:rsidRPr="00EC1A75">
        <w:rPr>
          <w:rFonts w:asciiTheme="minorHAnsi" w:eastAsia="Times New Roman" w:hAnsiTheme="minorHAnsi" w:cstheme="minorHAnsi"/>
          <w:sz w:val="24"/>
          <w:szCs w:val="24"/>
          <w:lang w:eastAsia="en-GB"/>
        </w:rPr>
        <w:t xml:space="preserve">The 2008 </w:t>
      </w:r>
      <w:r w:rsidR="004E16EF" w:rsidRPr="00EC1A75">
        <w:rPr>
          <w:rFonts w:asciiTheme="minorHAnsi" w:eastAsia="Times New Roman" w:hAnsiTheme="minorHAnsi" w:cstheme="minorHAnsi"/>
          <w:sz w:val="24"/>
          <w:szCs w:val="24"/>
          <w:lang w:eastAsia="en-GB"/>
        </w:rPr>
        <w:t xml:space="preserve">Study </w:t>
      </w:r>
      <w:r w:rsidRPr="00EC1A75">
        <w:rPr>
          <w:rFonts w:asciiTheme="minorHAnsi" w:eastAsia="Times New Roman" w:hAnsiTheme="minorHAnsi" w:cstheme="minorHAnsi"/>
          <w:sz w:val="24"/>
          <w:szCs w:val="24"/>
          <w:lang w:eastAsia="en-GB"/>
        </w:rPr>
        <w:t xml:space="preserve">also emphasized: </w:t>
      </w:r>
      <w:r w:rsidRPr="00EC1A75">
        <w:rPr>
          <w:rFonts w:asciiTheme="minorHAnsi" w:eastAsia="Times New Roman" w:hAnsiTheme="minorHAnsi" w:cstheme="minorHAnsi"/>
          <w:i/>
          <w:color w:val="C00000"/>
          <w:sz w:val="24"/>
          <w:szCs w:val="24"/>
          <w:lang w:eastAsia="en-GB"/>
        </w:rPr>
        <w:t xml:space="preserve">“Container storage density provides a tangible input into the model by setting the baseline for how many containers can be stored on a given area. </w:t>
      </w:r>
      <w:proofErr w:type="gramStart"/>
      <w:r w:rsidRPr="00EC1A75">
        <w:rPr>
          <w:rFonts w:asciiTheme="minorHAnsi" w:eastAsia="Times New Roman" w:hAnsiTheme="minorHAnsi" w:cstheme="minorHAnsi"/>
          <w:i/>
          <w:color w:val="C00000"/>
          <w:sz w:val="24"/>
          <w:szCs w:val="24"/>
          <w:lang w:eastAsia="en-GB"/>
        </w:rPr>
        <w:t>In essence, the</w:t>
      </w:r>
      <w:proofErr w:type="gramEnd"/>
      <w:r w:rsidRPr="00EC1A75">
        <w:rPr>
          <w:rFonts w:asciiTheme="minorHAnsi" w:eastAsia="Times New Roman" w:hAnsiTheme="minorHAnsi" w:cstheme="minorHAnsi"/>
          <w:i/>
          <w:color w:val="C00000"/>
          <w:sz w:val="24"/>
          <w:szCs w:val="24"/>
          <w:lang w:eastAsia="en-GB"/>
        </w:rPr>
        <w:t xml:space="preserve"> greater density that can be achieved the less land required.”</w:t>
      </w:r>
    </w:p>
    <w:p w14:paraId="4F583E8F" w14:textId="77777777" w:rsidR="00E20D72" w:rsidRPr="00EC1A75" w:rsidRDefault="00C16466" w:rsidP="00E20D72">
      <w:pPr>
        <w:spacing w:after="0"/>
        <w:ind w:left="709"/>
        <w:jc w:val="both"/>
        <w:rPr>
          <w:rFonts w:asciiTheme="minorHAnsi" w:eastAsia="Times New Roman" w:hAnsiTheme="minorHAnsi" w:cstheme="minorHAnsi"/>
          <w:color w:val="C00000"/>
          <w:sz w:val="24"/>
          <w:szCs w:val="24"/>
          <w:lang w:eastAsia="en-GB"/>
        </w:rPr>
      </w:pPr>
      <w:r w:rsidRPr="00EC1A75">
        <w:rPr>
          <w:rFonts w:asciiTheme="minorHAnsi" w:eastAsia="Times New Roman" w:hAnsiTheme="minorHAnsi" w:cstheme="minorHAnsi"/>
          <w:sz w:val="24"/>
          <w:szCs w:val="24"/>
          <w:lang w:eastAsia="en-GB"/>
        </w:rPr>
        <w:t>Despite the major significance of these highly sensitive parameters in determining land requirements, the 2018 Study took the observed values from ten or more years earlier, applied them to the current day and over the Plan period to 2036. Para 4.20.4 reads</w:t>
      </w:r>
      <w:r w:rsidRPr="00EC1A75">
        <w:rPr>
          <w:rFonts w:asciiTheme="minorHAnsi" w:eastAsia="Times New Roman" w:hAnsiTheme="minorHAnsi" w:cstheme="minorHAnsi"/>
          <w:i/>
          <w:sz w:val="24"/>
          <w:szCs w:val="24"/>
          <w:lang w:eastAsia="en-GB"/>
        </w:rPr>
        <w:t xml:space="preserve">: </w:t>
      </w:r>
      <w:r w:rsidRPr="00EC1A75">
        <w:rPr>
          <w:rFonts w:asciiTheme="minorHAnsi" w:eastAsia="Times New Roman" w:hAnsiTheme="minorHAnsi" w:cstheme="minorHAnsi"/>
          <w:i/>
          <w:color w:val="C00000"/>
          <w:sz w:val="24"/>
          <w:szCs w:val="24"/>
          <w:lang w:eastAsia="en-GB"/>
        </w:rPr>
        <w:t xml:space="preserve">“The container throughput forecasts for open storage and warehousing space are then converted into land requirements based on a ratio of 16,535 TEU per hectare/per annum for open storage and 1,045 TEU per hectare/per annum for warehousing (i.e. the number of TEU that one hectare of land can store </w:t>
      </w:r>
      <w:proofErr w:type="gramStart"/>
      <w:r w:rsidRPr="00EC1A75">
        <w:rPr>
          <w:rFonts w:asciiTheme="minorHAnsi" w:eastAsia="Times New Roman" w:hAnsiTheme="minorHAnsi" w:cstheme="minorHAnsi"/>
          <w:i/>
          <w:color w:val="C00000"/>
          <w:sz w:val="24"/>
          <w:szCs w:val="24"/>
          <w:lang w:eastAsia="en-GB"/>
        </w:rPr>
        <w:t>during the course of</w:t>
      </w:r>
      <w:proofErr w:type="gramEnd"/>
      <w:r w:rsidRPr="00EC1A75">
        <w:rPr>
          <w:rFonts w:asciiTheme="minorHAnsi" w:eastAsia="Times New Roman" w:hAnsiTheme="minorHAnsi" w:cstheme="minorHAnsi"/>
          <w:i/>
          <w:color w:val="C00000"/>
          <w:sz w:val="24"/>
          <w:szCs w:val="24"/>
          <w:lang w:eastAsia="en-GB"/>
        </w:rPr>
        <w:t xml:space="preserve"> a year). These densities are based on the assumptions set out in the 2008 study, and incorporate allowances for average container dwell times (30 days for open storage, 130 days for warehouses) used to determine the turnover of containers per year.”</w:t>
      </w:r>
      <w:r w:rsidR="004E16EF" w:rsidRPr="00EC1A75">
        <w:rPr>
          <w:rFonts w:asciiTheme="minorHAnsi" w:eastAsia="Times New Roman" w:hAnsiTheme="minorHAnsi" w:cstheme="minorHAnsi"/>
          <w:color w:val="C00000"/>
          <w:sz w:val="24"/>
          <w:szCs w:val="24"/>
          <w:lang w:eastAsia="en-GB"/>
        </w:rPr>
        <w:t xml:space="preserve"> </w:t>
      </w:r>
    </w:p>
    <w:p w14:paraId="4006DDC3" w14:textId="293F952D" w:rsidR="00E20D72" w:rsidRPr="0087698B" w:rsidRDefault="00C16466" w:rsidP="00E20D72">
      <w:pPr>
        <w:spacing w:after="0"/>
        <w:ind w:left="709"/>
        <w:jc w:val="both"/>
        <w:rPr>
          <w:rFonts w:asciiTheme="minorHAnsi" w:eastAsia="Times New Roman" w:hAnsiTheme="minorHAnsi" w:cstheme="minorHAnsi"/>
          <w:i/>
          <w:color w:val="C00000"/>
          <w:sz w:val="24"/>
          <w:szCs w:val="24"/>
          <w:lang w:eastAsia="en-GB"/>
        </w:rPr>
      </w:pPr>
      <w:r w:rsidRPr="00EC1A75">
        <w:rPr>
          <w:rFonts w:asciiTheme="minorHAnsi" w:eastAsia="Times New Roman" w:hAnsiTheme="minorHAnsi" w:cstheme="minorHAnsi"/>
          <w:sz w:val="24"/>
          <w:szCs w:val="24"/>
          <w:lang w:eastAsia="en-GB"/>
        </w:rPr>
        <w:t>The 2018 Study also followed its predecessor in assigning a safety margin of 20% along with an additional 15% for “ancillary services” – the latter based on an analysis of observed land utilisation back in 2008. Para 4.20.5 read</w:t>
      </w:r>
      <w:r w:rsidR="0087698B">
        <w:rPr>
          <w:rFonts w:asciiTheme="minorHAnsi" w:eastAsia="Times New Roman" w:hAnsiTheme="minorHAnsi" w:cstheme="minorHAnsi"/>
          <w:sz w:val="24"/>
          <w:szCs w:val="24"/>
          <w:lang w:eastAsia="en-GB"/>
        </w:rPr>
        <w:t>s</w:t>
      </w:r>
      <w:proofErr w:type="gramStart"/>
      <w:r w:rsidR="0087698B">
        <w:rPr>
          <w:rFonts w:asciiTheme="minorHAnsi" w:eastAsia="Times New Roman" w:hAnsiTheme="minorHAnsi" w:cstheme="minorHAnsi"/>
          <w:sz w:val="24"/>
          <w:szCs w:val="24"/>
          <w:lang w:eastAsia="en-GB"/>
        </w:rPr>
        <w:t>:</w:t>
      </w:r>
      <w:r w:rsidR="0087698B">
        <w:rPr>
          <w:rFonts w:asciiTheme="minorHAnsi" w:eastAsia="Times New Roman" w:hAnsiTheme="minorHAnsi" w:cstheme="minorHAnsi"/>
          <w:color w:val="C00000"/>
          <w:sz w:val="24"/>
          <w:szCs w:val="24"/>
          <w:lang w:eastAsia="en-GB"/>
        </w:rPr>
        <w:t xml:space="preserve"> </w:t>
      </w:r>
      <w:r w:rsidRPr="0087698B">
        <w:rPr>
          <w:rFonts w:asciiTheme="minorHAnsi" w:eastAsia="Times New Roman" w:hAnsiTheme="minorHAnsi" w:cstheme="minorHAnsi"/>
          <w:i/>
          <w:color w:val="C00000"/>
          <w:sz w:val="24"/>
          <w:szCs w:val="24"/>
          <w:lang w:eastAsia="en-GB"/>
        </w:rPr>
        <w:t>”A</w:t>
      </w:r>
      <w:proofErr w:type="gramEnd"/>
      <w:r w:rsidRPr="0087698B">
        <w:rPr>
          <w:rFonts w:asciiTheme="minorHAnsi" w:eastAsia="Times New Roman" w:hAnsiTheme="minorHAnsi" w:cstheme="minorHAnsi"/>
          <w:i/>
          <w:color w:val="C00000"/>
          <w:sz w:val="24"/>
          <w:szCs w:val="24"/>
          <w:lang w:eastAsia="en-GB"/>
        </w:rPr>
        <w:t xml:space="preserve"> 20% safety margin has then been added to the land requirement (similar to the approach generally adopted in employment land reviews for local plans), followed by a 15% allowance for ancillary facilities and operations such as mechanics, container repairs and haulage yards. No specific allowance has been made for lorry parking areas which are outside the scope of this assessment. These assumptions are consistent with the 2008 study.”</w:t>
      </w:r>
      <w:r w:rsidR="004E16EF" w:rsidRPr="0087698B">
        <w:rPr>
          <w:rFonts w:asciiTheme="minorHAnsi" w:eastAsia="Times New Roman" w:hAnsiTheme="minorHAnsi" w:cstheme="minorHAnsi"/>
          <w:i/>
          <w:color w:val="C00000"/>
          <w:sz w:val="24"/>
          <w:szCs w:val="24"/>
          <w:lang w:eastAsia="en-GB"/>
        </w:rPr>
        <w:t xml:space="preserve"> </w:t>
      </w:r>
    </w:p>
    <w:p w14:paraId="0F042E90" w14:textId="0764C5DA" w:rsidR="00C16466" w:rsidRPr="00EC1A75" w:rsidRDefault="00C16466" w:rsidP="00E20D72">
      <w:pPr>
        <w:spacing w:after="0"/>
        <w:ind w:left="709"/>
        <w:jc w:val="both"/>
        <w:rPr>
          <w:rFonts w:asciiTheme="minorHAnsi" w:eastAsia="Times New Roman" w:hAnsiTheme="minorHAnsi" w:cstheme="minorHAnsi"/>
          <w:color w:val="C00000"/>
          <w:sz w:val="24"/>
          <w:szCs w:val="24"/>
          <w:lang w:eastAsia="en-GB"/>
        </w:rPr>
      </w:pPr>
      <w:r w:rsidRPr="00EC1A75">
        <w:rPr>
          <w:rFonts w:asciiTheme="minorHAnsi" w:eastAsia="Times New Roman" w:hAnsiTheme="minorHAnsi" w:cstheme="minorHAnsi"/>
          <w:sz w:val="24"/>
          <w:szCs w:val="24"/>
          <w:lang w:eastAsia="en-GB"/>
        </w:rPr>
        <w:t>Para 4.25 of the 2018 Study offers this caveat</w:t>
      </w:r>
      <w:proofErr w:type="gramStart"/>
      <w:r w:rsidRPr="00EC1A75">
        <w:rPr>
          <w:rFonts w:asciiTheme="minorHAnsi" w:eastAsia="Times New Roman" w:hAnsiTheme="minorHAnsi" w:cstheme="minorHAnsi"/>
          <w:sz w:val="24"/>
          <w:szCs w:val="24"/>
          <w:lang w:eastAsia="en-GB"/>
        </w:rPr>
        <w:t xml:space="preserve">:  </w:t>
      </w:r>
      <w:r w:rsidRPr="0087698B">
        <w:rPr>
          <w:rFonts w:asciiTheme="minorHAnsi" w:eastAsia="Times New Roman" w:hAnsiTheme="minorHAnsi" w:cstheme="minorHAnsi"/>
          <w:i/>
          <w:color w:val="C00000"/>
          <w:sz w:val="24"/>
          <w:szCs w:val="24"/>
          <w:lang w:eastAsia="en-GB"/>
        </w:rPr>
        <w:t>“</w:t>
      </w:r>
      <w:proofErr w:type="gramEnd"/>
      <w:r w:rsidRPr="0087698B">
        <w:rPr>
          <w:rFonts w:asciiTheme="minorHAnsi" w:eastAsia="Times New Roman" w:hAnsiTheme="minorHAnsi" w:cstheme="minorHAnsi"/>
          <w:i/>
          <w:color w:val="C00000"/>
          <w:sz w:val="24"/>
          <w:szCs w:val="24"/>
          <w:lang w:eastAsia="en-GB"/>
        </w:rPr>
        <w:t>As noted above, these future growth scenarios are highly dependent upon a range of macroeconomic drivers and trends – not least of which the impact of Brexit upon trade patterns with the UK – which are characterised by a great deal of uncertainty at the time of analysis. The resulting off-port land requirements also assume that current operational patterns continue in future, i.e. that the current proportion of container volume shipped directly out of the study area by rail and road does not change (in absence of evidence to suggest it will), although future changes could be influenced and instigated by changing preferences of shipping and cargo firms that use the port of Felixstowe.”</w:t>
      </w:r>
    </w:p>
    <w:p w14:paraId="2E7B06C8" w14:textId="6217589E" w:rsidR="00C16466" w:rsidRPr="00EC1A75" w:rsidRDefault="00C16466" w:rsidP="00E20D72">
      <w:pPr>
        <w:spacing w:after="0"/>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As to operating and technological efficiencies within the Port since 2008 and over the Plan period to 2036, the 2018 Study notes at para 4.15 it has explicitly excluded any impact:</w:t>
      </w:r>
    </w:p>
    <w:p w14:paraId="40BFF089" w14:textId="77777777" w:rsidR="00C16466" w:rsidRPr="004E57FA" w:rsidRDefault="00C16466" w:rsidP="00E20D72">
      <w:pPr>
        <w:spacing w:after="0" w:line="240" w:lineRule="auto"/>
        <w:ind w:left="709"/>
        <w:jc w:val="both"/>
        <w:rPr>
          <w:rFonts w:asciiTheme="minorHAnsi" w:eastAsia="Times New Roman" w:hAnsiTheme="minorHAnsi" w:cstheme="minorHAnsi"/>
          <w:i/>
          <w:color w:val="C00000"/>
          <w:sz w:val="24"/>
          <w:szCs w:val="24"/>
          <w:lang w:eastAsia="en-GB"/>
        </w:rPr>
      </w:pPr>
      <w:r w:rsidRPr="004E57FA">
        <w:rPr>
          <w:rFonts w:asciiTheme="minorHAnsi" w:eastAsia="Times New Roman" w:hAnsiTheme="minorHAnsi" w:cstheme="minorHAnsi"/>
          <w:i/>
          <w:color w:val="C00000"/>
          <w:sz w:val="24"/>
          <w:szCs w:val="24"/>
          <w:lang w:eastAsia="en-GB"/>
        </w:rPr>
        <w:t>“The 2008 Felixstowe Port Logistics Study assumed the impact of on port activities</w:t>
      </w:r>
    </w:p>
    <w:p w14:paraId="1E7B955B" w14:textId="77777777" w:rsidR="00C16466" w:rsidRPr="004E57FA" w:rsidRDefault="00C16466" w:rsidP="00E20D72">
      <w:pPr>
        <w:spacing w:after="0" w:line="240" w:lineRule="auto"/>
        <w:ind w:left="709"/>
        <w:jc w:val="both"/>
        <w:rPr>
          <w:rFonts w:asciiTheme="minorHAnsi" w:eastAsia="Times New Roman" w:hAnsiTheme="minorHAnsi" w:cstheme="minorHAnsi"/>
          <w:i/>
          <w:color w:val="C00000"/>
          <w:sz w:val="24"/>
          <w:szCs w:val="24"/>
          <w:lang w:eastAsia="en-GB"/>
        </w:rPr>
      </w:pPr>
      <w:r w:rsidRPr="004E57FA">
        <w:rPr>
          <w:rFonts w:asciiTheme="minorHAnsi" w:eastAsia="Times New Roman" w:hAnsiTheme="minorHAnsi" w:cstheme="minorHAnsi"/>
          <w:i/>
          <w:color w:val="C00000"/>
          <w:sz w:val="24"/>
          <w:szCs w:val="24"/>
          <w:lang w:eastAsia="en-GB"/>
        </w:rPr>
        <w:t xml:space="preserve">would be held constant, and the same approach has been adopted in this study for consistency. </w:t>
      </w:r>
    </w:p>
    <w:p w14:paraId="254A29A1" w14:textId="542E923E" w:rsidR="00C16466" w:rsidRPr="004E57FA" w:rsidRDefault="00C16466" w:rsidP="00E20D72">
      <w:pPr>
        <w:spacing w:after="0" w:line="240" w:lineRule="auto"/>
        <w:ind w:left="709"/>
        <w:jc w:val="both"/>
        <w:rPr>
          <w:rFonts w:asciiTheme="minorHAnsi" w:eastAsia="Times New Roman" w:hAnsiTheme="minorHAnsi" w:cstheme="minorHAnsi"/>
          <w:i/>
          <w:color w:val="C00000"/>
          <w:sz w:val="24"/>
          <w:szCs w:val="24"/>
          <w:lang w:eastAsia="en-GB"/>
        </w:rPr>
      </w:pPr>
      <w:r w:rsidRPr="004E57FA">
        <w:rPr>
          <w:rFonts w:asciiTheme="minorHAnsi" w:eastAsia="Times New Roman" w:hAnsiTheme="minorHAnsi" w:cstheme="minorHAnsi"/>
          <w:i/>
          <w:color w:val="C00000"/>
          <w:sz w:val="24"/>
          <w:szCs w:val="24"/>
          <w:lang w:eastAsia="en-GB"/>
        </w:rPr>
        <w:t>This means that it is assumed that the Port’s current operational practices as they relate to on-port</w:t>
      </w:r>
      <w:r w:rsidR="004E16EF" w:rsidRPr="004E57FA">
        <w:rPr>
          <w:rFonts w:asciiTheme="minorHAnsi" w:eastAsia="Times New Roman" w:hAnsiTheme="minorHAnsi" w:cstheme="minorHAnsi"/>
          <w:i/>
          <w:color w:val="C00000"/>
          <w:sz w:val="24"/>
          <w:szCs w:val="24"/>
          <w:lang w:eastAsia="en-GB"/>
        </w:rPr>
        <w:t xml:space="preserve"> </w:t>
      </w:r>
      <w:r w:rsidRPr="004E57FA">
        <w:rPr>
          <w:rFonts w:asciiTheme="minorHAnsi" w:eastAsia="Times New Roman" w:hAnsiTheme="minorHAnsi" w:cstheme="minorHAnsi"/>
          <w:i/>
          <w:color w:val="C00000"/>
          <w:sz w:val="24"/>
          <w:szCs w:val="24"/>
          <w:lang w:eastAsia="en-GB"/>
        </w:rPr>
        <w:t xml:space="preserve">operating efficiency (e.g. how quickly laden and empty containers are handled on the quay) and container dwell times (i.e. how long containers are stored at the Port) will broadly continue as currently. Furthermore, the use of land within the </w:t>
      </w:r>
      <w:r w:rsidRPr="004E57FA">
        <w:rPr>
          <w:rFonts w:asciiTheme="minorHAnsi" w:eastAsia="Times New Roman" w:hAnsiTheme="minorHAnsi" w:cstheme="minorHAnsi"/>
          <w:i/>
          <w:color w:val="C00000"/>
          <w:sz w:val="24"/>
          <w:szCs w:val="24"/>
          <w:lang w:eastAsia="en-GB"/>
        </w:rPr>
        <w:lastRenderedPageBreak/>
        <w:t>Port boundary ultimately reflects strategic choices by the operator about the layout and management of its estate. It is not within the scope of this study to investigate these factors in detail (in common with the 2008 assessment), and</w:t>
      </w:r>
      <w:r w:rsidR="004E16EF" w:rsidRPr="004E57FA">
        <w:rPr>
          <w:rFonts w:asciiTheme="minorHAnsi" w:eastAsia="Times New Roman" w:hAnsiTheme="minorHAnsi" w:cstheme="minorHAnsi"/>
          <w:i/>
          <w:color w:val="C00000"/>
          <w:sz w:val="24"/>
          <w:szCs w:val="24"/>
          <w:lang w:eastAsia="en-GB"/>
        </w:rPr>
        <w:t xml:space="preserve"> </w:t>
      </w:r>
      <w:r w:rsidRPr="004E57FA">
        <w:rPr>
          <w:rFonts w:asciiTheme="minorHAnsi" w:eastAsia="Times New Roman" w:hAnsiTheme="minorHAnsi" w:cstheme="minorHAnsi"/>
          <w:i/>
          <w:color w:val="C00000"/>
          <w:sz w:val="24"/>
          <w:szCs w:val="24"/>
          <w:lang w:eastAsia="en-GB"/>
        </w:rPr>
        <w:t>in any event, these choices will depend on market drivers and the needs of customers that will change over time.”</w:t>
      </w:r>
    </w:p>
    <w:p w14:paraId="292BD4FD" w14:textId="77777777" w:rsidR="00C16466" w:rsidRPr="00EC1A75" w:rsidRDefault="00C16466" w:rsidP="00E20D72">
      <w:pPr>
        <w:spacing w:after="0" w:line="240" w:lineRule="auto"/>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That the situation is ever-changing is reflected in the minutes of a meeting in October 2018 of the Port Local Authority Liaison Committee (LALC) where Clemence Cheng, CEO) advised of a pending 13% increase in container storage capacity within the Port:</w:t>
      </w:r>
    </w:p>
    <w:p w14:paraId="1196BD0A" w14:textId="77777777" w:rsidR="00C16466" w:rsidRPr="004E57FA" w:rsidRDefault="00C16466" w:rsidP="00E20D72">
      <w:pPr>
        <w:autoSpaceDE w:val="0"/>
        <w:autoSpaceDN w:val="0"/>
        <w:adjustRightInd w:val="0"/>
        <w:spacing w:after="0" w:line="240" w:lineRule="auto"/>
        <w:ind w:left="709"/>
        <w:jc w:val="both"/>
        <w:rPr>
          <w:rFonts w:asciiTheme="minorHAnsi" w:hAnsiTheme="minorHAnsi" w:cstheme="minorHAnsi"/>
          <w:i/>
          <w:color w:val="C00000"/>
          <w:sz w:val="24"/>
          <w:szCs w:val="24"/>
        </w:rPr>
      </w:pPr>
      <w:r w:rsidRPr="004E57FA">
        <w:rPr>
          <w:rFonts w:asciiTheme="minorHAnsi" w:hAnsiTheme="minorHAnsi" w:cstheme="minorHAnsi"/>
          <w:i/>
          <w:color w:val="C00000"/>
          <w:sz w:val="24"/>
          <w:szCs w:val="24"/>
        </w:rPr>
        <w:t>“Work on the new container yard space behind Berth 9 continues apace, with the first two</w:t>
      </w:r>
    </w:p>
    <w:p w14:paraId="5EDED4EA" w14:textId="77777777" w:rsidR="00C16466" w:rsidRPr="004E57FA" w:rsidRDefault="00C16466" w:rsidP="00E20D72">
      <w:pPr>
        <w:autoSpaceDE w:val="0"/>
        <w:autoSpaceDN w:val="0"/>
        <w:adjustRightInd w:val="0"/>
        <w:spacing w:after="0" w:line="240" w:lineRule="auto"/>
        <w:ind w:left="709"/>
        <w:jc w:val="both"/>
        <w:rPr>
          <w:rFonts w:asciiTheme="minorHAnsi" w:hAnsiTheme="minorHAnsi" w:cstheme="minorHAnsi"/>
          <w:i/>
          <w:color w:val="C00000"/>
          <w:sz w:val="24"/>
          <w:szCs w:val="24"/>
        </w:rPr>
      </w:pPr>
      <w:r w:rsidRPr="004E57FA">
        <w:rPr>
          <w:rFonts w:asciiTheme="minorHAnsi" w:hAnsiTheme="minorHAnsi" w:cstheme="minorHAnsi"/>
          <w:i/>
          <w:color w:val="C00000"/>
          <w:sz w:val="24"/>
          <w:szCs w:val="24"/>
        </w:rPr>
        <w:t>blocks now handed over and fully operational. Completion of the new yard is scheduled</w:t>
      </w:r>
    </w:p>
    <w:p w14:paraId="259AFC43" w14:textId="77777777" w:rsidR="00C16466" w:rsidRPr="004E57FA" w:rsidRDefault="00C16466" w:rsidP="00E20D72">
      <w:pPr>
        <w:autoSpaceDE w:val="0"/>
        <w:autoSpaceDN w:val="0"/>
        <w:adjustRightInd w:val="0"/>
        <w:spacing w:after="0" w:line="240" w:lineRule="auto"/>
        <w:ind w:left="709"/>
        <w:jc w:val="both"/>
        <w:rPr>
          <w:rFonts w:asciiTheme="minorHAnsi" w:hAnsiTheme="minorHAnsi" w:cstheme="minorHAnsi"/>
          <w:i/>
          <w:color w:val="C00000"/>
          <w:sz w:val="24"/>
          <w:szCs w:val="24"/>
        </w:rPr>
      </w:pPr>
      <w:r w:rsidRPr="004E57FA">
        <w:rPr>
          <w:rFonts w:asciiTheme="minorHAnsi" w:hAnsiTheme="minorHAnsi" w:cstheme="minorHAnsi"/>
          <w:i/>
          <w:color w:val="C00000"/>
          <w:sz w:val="24"/>
          <w:szCs w:val="24"/>
        </w:rPr>
        <w:t>for early 2019 and will add a further 18,000 TEU to the existing 130,000 TEU storage</w:t>
      </w:r>
    </w:p>
    <w:p w14:paraId="45CC555B" w14:textId="20435BB2" w:rsidR="00C16466" w:rsidRPr="00EC1A75" w:rsidRDefault="00EC1A75" w:rsidP="00EC1A75">
      <w:pPr>
        <w:spacing w:after="0" w:line="240" w:lineRule="auto"/>
        <w:ind w:left="709"/>
        <w:jc w:val="both"/>
        <w:rPr>
          <w:rFonts w:asciiTheme="minorHAnsi" w:hAnsiTheme="minorHAnsi" w:cstheme="minorHAnsi"/>
          <w:sz w:val="24"/>
          <w:szCs w:val="24"/>
        </w:rPr>
      </w:pPr>
      <w:r w:rsidRPr="004E57FA">
        <w:rPr>
          <w:rFonts w:asciiTheme="minorHAnsi" w:hAnsiTheme="minorHAnsi" w:cstheme="minorHAnsi"/>
          <w:i/>
          <w:color w:val="C00000"/>
          <w:sz w:val="24"/>
          <w:szCs w:val="24"/>
        </w:rPr>
        <w:t>capacity.”</w:t>
      </w:r>
      <w:r w:rsidR="00C16466" w:rsidRPr="00EC1A75">
        <w:rPr>
          <w:rFonts w:asciiTheme="minorHAnsi" w:hAnsiTheme="minorHAnsi" w:cstheme="minorHAnsi"/>
          <w:sz w:val="24"/>
          <w:szCs w:val="24"/>
        </w:rPr>
        <w:t xml:space="preserve">  This is an increase of almost 14% in on-port capacity.</w:t>
      </w:r>
    </w:p>
    <w:p w14:paraId="4AF354AE" w14:textId="77777777" w:rsidR="00C16466" w:rsidRPr="00EC1A75" w:rsidRDefault="00C16466" w:rsidP="00E20D72">
      <w:pPr>
        <w:spacing w:after="0"/>
        <w:jc w:val="both"/>
        <w:rPr>
          <w:rFonts w:asciiTheme="minorHAnsi" w:eastAsia="Times New Roman" w:hAnsiTheme="minorHAnsi" w:cstheme="minorHAnsi"/>
          <w:sz w:val="24"/>
          <w:szCs w:val="24"/>
          <w:lang w:eastAsia="en-GB"/>
        </w:rPr>
      </w:pPr>
    </w:p>
    <w:p w14:paraId="17DA1504" w14:textId="77777777" w:rsidR="004E16EF" w:rsidRPr="00EC1A75" w:rsidRDefault="00C16466" w:rsidP="00E20D72">
      <w:pPr>
        <w:numPr>
          <w:ilvl w:val="0"/>
          <w:numId w:val="9"/>
        </w:numPr>
        <w:spacing w:after="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Site Characteristics</w:t>
      </w:r>
    </w:p>
    <w:p w14:paraId="4EAF7924" w14:textId="77777777" w:rsidR="004E16EF" w:rsidRPr="00EC1A75" w:rsidRDefault="004E16EF" w:rsidP="00E20D72">
      <w:pPr>
        <w:spacing w:after="0"/>
        <w:ind w:left="720"/>
        <w:jc w:val="both"/>
        <w:rPr>
          <w:rFonts w:asciiTheme="minorHAnsi" w:eastAsia="Times New Roman" w:hAnsiTheme="minorHAnsi" w:cstheme="minorHAnsi"/>
          <w:b/>
          <w:sz w:val="24"/>
          <w:szCs w:val="24"/>
          <w:lang w:eastAsia="en-GB"/>
        </w:rPr>
      </w:pPr>
    </w:p>
    <w:p w14:paraId="6C0133E8" w14:textId="3CC74022" w:rsidR="00C16466" w:rsidRPr="00EC1A75" w:rsidRDefault="00C16466" w:rsidP="00E20D72">
      <w:pPr>
        <w:spacing w:after="0"/>
        <w:ind w:left="72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sz w:val="24"/>
          <w:szCs w:val="24"/>
          <w:lang w:eastAsia="en-GB"/>
        </w:rPr>
        <w:t>The 2018 Study was silent on several parameters affecting site suitability. These include elements such as minimum size, shunt costs &amp;</w:t>
      </w:r>
      <w:r w:rsidR="004E16EF"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capacities and differences as to whether containers are empty or laden. This is taken from the 2008 Study Pages 13 &amp; 14:</w:t>
      </w:r>
    </w:p>
    <w:p w14:paraId="0531384E" w14:textId="2609E0F1" w:rsidR="00C16466" w:rsidRPr="00EC1A75" w:rsidRDefault="0087698B" w:rsidP="00E20D72">
      <w:pPr>
        <w:spacing w:after="0"/>
        <w:ind w:left="709"/>
        <w:jc w:val="both"/>
        <w:rPr>
          <w:rFonts w:asciiTheme="minorHAnsi" w:eastAsia="Times New Roman" w:hAnsiTheme="minorHAnsi" w:cstheme="minorHAnsi"/>
          <w:sz w:val="24"/>
          <w:szCs w:val="24"/>
          <w:lang w:eastAsia="en-GB"/>
        </w:rPr>
      </w:pPr>
      <w:r w:rsidRPr="00EC1A75">
        <w:rPr>
          <w:rFonts w:asciiTheme="minorHAnsi" w:hAnsiTheme="minorHAnsi" w:cstheme="minorHAnsi"/>
          <w:noProof/>
          <w:sz w:val="24"/>
          <w:szCs w:val="24"/>
        </w:rPr>
        <w:drawing>
          <wp:anchor distT="0" distB="0" distL="114300" distR="114300" simplePos="0" relativeHeight="251658240" behindDoc="0" locked="0" layoutInCell="1" allowOverlap="1" wp14:anchorId="02881C3F" wp14:editId="2E985BE3">
            <wp:simplePos x="0" y="0"/>
            <wp:positionH relativeFrom="column">
              <wp:posOffset>450215</wp:posOffset>
            </wp:positionH>
            <wp:positionV relativeFrom="paragraph">
              <wp:posOffset>135255</wp:posOffset>
            </wp:positionV>
            <wp:extent cx="4829175" cy="2043430"/>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6562" t="48151" r="33060" b="28995"/>
                    <a:stretch>
                      <a:fillRect/>
                    </a:stretch>
                  </pic:blipFill>
                  <pic:spPr bwMode="auto">
                    <a:xfrm>
                      <a:off x="0" y="0"/>
                      <a:ext cx="4829175" cy="2043430"/>
                    </a:xfrm>
                    <a:prstGeom prst="rect">
                      <a:avLst/>
                    </a:prstGeom>
                    <a:noFill/>
                  </pic:spPr>
                </pic:pic>
              </a:graphicData>
            </a:graphic>
            <wp14:sizeRelH relativeFrom="margin">
              <wp14:pctWidth>0</wp14:pctWidth>
            </wp14:sizeRelH>
            <wp14:sizeRelV relativeFrom="margin">
              <wp14:pctHeight>0</wp14:pctHeight>
            </wp14:sizeRelV>
          </wp:anchor>
        </w:drawing>
      </w:r>
    </w:p>
    <w:p w14:paraId="4C49C6E7" w14:textId="062F1D4D" w:rsidR="00C16466" w:rsidRPr="00EC1A75" w:rsidRDefault="00C16466" w:rsidP="00E20D72">
      <w:pPr>
        <w:spacing w:after="0"/>
        <w:ind w:left="709"/>
        <w:jc w:val="both"/>
        <w:rPr>
          <w:rFonts w:asciiTheme="minorHAnsi" w:eastAsia="Times New Roman" w:hAnsiTheme="minorHAnsi" w:cstheme="minorHAnsi"/>
          <w:sz w:val="24"/>
          <w:szCs w:val="24"/>
          <w:lang w:eastAsia="en-GB"/>
        </w:rPr>
      </w:pPr>
    </w:p>
    <w:p w14:paraId="45605918" w14:textId="77777777" w:rsidR="00C16466" w:rsidRPr="00EC1A75" w:rsidRDefault="00C16466" w:rsidP="00E20D72">
      <w:pPr>
        <w:spacing w:after="0"/>
        <w:ind w:left="709"/>
        <w:jc w:val="both"/>
        <w:rPr>
          <w:rFonts w:asciiTheme="minorHAnsi" w:eastAsia="Times New Roman" w:hAnsiTheme="minorHAnsi" w:cstheme="minorHAnsi"/>
          <w:sz w:val="24"/>
          <w:szCs w:val="24"/>
          <w:lang w:eastAsia="en-GB"/>
        </w:rPr>
      </w:pPr>
    </w:p>
    <w:p w14:paraId="1C46CB02" w14:textId="77777777" w:rsidR="00C16466" w:rsidRPr="00EC1A75" w:rsidRDefault="00C16466" w:rsidP="00E20D72">
      <w:pPr>
        <w:spacing w:after="0"/>
        <w:ind w:left="709"/>
        <w:jc w:val="both"/>
        <w:rPr>
          <w:rFonts w:asciiTheme="minorHAnsi" w:eastAsia="Times New Roman" w:hAnsiTheme="minorHAnsi" w:cstheme="minorHAnsi"/>
          <w:sz w:val="24"/>
          <w:szCs w:val="24"/>
          <w:lang w:eastAsia="en-GB"/>
        </w:rPr>
      </w:pPr>
    </w:p>
    <w:p w14:paraId="62E6C4AC" w14:textId="77777777" w:rsidR="00C16466" w:rsidRPr="00EC1A75" w:rsidRDefault="00C16466" w:rsidP="00E20D72">
      <w:pPr>
        <w:spacing w:after="0"/>
        <w:ind w:left="709"/>
        <w:jc w:val="both"/>
        <w:rPr>
          <w:rFonts w:asciiTheme="minorHAnsi" w:eastAsia="Times New Roman" w:hAnsiTheme="minorHAnsi" w:cstheme="minorHAnsi"/>
          <w:sz w:val="24"/>
          <w:szCs w:val="24"/>
          <w:lang w:eastAsia="en-GB"/>
        </w:rPr>
      </w:pPr>
    </w:p>
    <w:p w14:paraId="4A13D61F" w14:textId="79C8D642" w:rsidR="00C16466" w:rsidRPr="00EC1A75" w:rsidRDefault="00C16466" w:rsidP="00E20D72">
      <w:pPr>
        <w:spacing w:after="0"/>
        <w:ind w:left="851"/>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lastRenderedPageBreak/>
        <w:br w:type="textWrapping" w:clear="all"/>
      </w:r>
      <w:r w:rsidR="0087698B" w:rsidRPr="00EC1A75">
        <w:rPr>
          <w:rFonts w:asciiTheme="minorHAnsi" w:hAnsiTheme="minorHAnsi" w:cstheme="minorHAnsi"/>
          <w:noProof/>
          <w:sz w:val="24"/>
          <w:szCs w:val="24"/>
          <w:lang w:eastAsia="en-GB"/>
        </w:rPr>
        <w:drawing>
          <wp:inline distT="0" distB="0" distL="0" distR="0" wp14:anchorId="6D681270" wp14:editId="25E5BE78">
            <wp:extent cx="4648200" cy="35147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36978" t="26060" r="32452" b="32683"/>
                    <a:stretch>
                      <a:fillRect/>
                    </a:stretch>
                  </pic:blipFill>
                  <pic:spPr bwMode="auto">
                    <a:xfrm>
                      <a:off x="0" y="0"/>
                      <a:ext cx="4648200" cy="3514725"/>
                    </a:xfrm>
                    <a:prstGeom prst="rect">
                      <a:avLst/>
                    </a:prstGeom>
                    <a:noFill/>
                    <a:ln>
                      <a:noFill/>
                    </a:ln>
                  </pic:spPr>
                </pic:pic>
              </a:graphicData>
            </a:graphic>
          </wp:inline>
        </w:drawing>
      </w:r>
    </w:p>
    <w:p w14:paraId="7CAD7CDE" w14:textId="77777777" w:rsidR="00E54191" w:rsidRPr="00EC1A75" w:rsidRDefault="00E54191" w:rsidP="00E20D72">
      <w:pPr>
        <w:spacing w:after="0"/>
        <w:ind w:left="709"/>
        <w:jc w:val="both"/>
        <w:rPr>
          <w:rFonts w:asciiTheme="minorHAnsi" w:eastAsia="Times New Roman" w:hAnsiTheme="minorHAnsi" w:cstheme="minorHAnsi"/>
          <w:sz w:val="24"/>
          <w:szCs w:val="24"/>
          <w:lang w:eastAsia="en-GB"/>
        </w:rPr>
      </w:pPr>
    </w:p>
    <w:p w14:paraId="760A42B8" w14:textId="269C4C6F" w:rsidR="00C16466" w:rsidRPr="00EC1A75" w:rsidRDefault="00C16466" w:rsidP="00E20D72">
      <w:pPr>
        <w:spacing w:after="0"/>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 xml:space="preserve">Annex D of the 2008 Study went into </w:t>
      </w:r>
      <w:proofErr w:type="gramStart"/>
      <w:r w:rsidRPr="00EC1A75">
        <w:rPr>
          <w:rFonts w:asciiTheme="minorHAnsi" w:eastAsia="Times New Roman" w:hAnsiTheme="minorHAnsi" w:cstheme="minorHAnsi"/>
          <w:sz w:val="24"/>
          <w:szCs w:val="24"/>
          <w:lang w:eastAsia="en-GB"/>
        </w:rPr>
        <w:t>great detail</w:t>
      </w:r>
      <w:proofErr w:type="gramEnd"/>
      <w:r w:rsidRPr="00EC1A75">
        <w:rPr>
          <w:rFonts w:asciiTheme="minorHAnsi" w:eastAsia="Times New Roman" w:hAnsiTheme="minorHAnsi" w:cstheme="minorHAnsi"/>
          <w:sz w:val="24"/>
          <w:szCs w:val="24"/>
          <w:lang w:eastAsia="en-GB"/>
        </w:rPr>
        <w:t xml:space="preserve"> regarding shunt costs and distance related costs, none of which was revisited in 2018.</w:t>
      </w:r>
      <w:r w:rsidR="00E54191"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It is worthy of note that the size minima fall well short of a development on the scale of Innocence Farm.</w:t>
      </w:r>
    </w:p>
    <w:p w14:paraId="02AE766C" w14:textId="77777777" w:rsidR="00C16466" w:rsidRPr="00EC1A75" w:rsidRDefault="00C16466" w:rsidP="00E20D72">
      <w:pPr>
        <w:spacing w:after="0"/>
        <w:jc w:val="both"/>
        <w:rPr>
          <w:rFonts w:asciiTheme="minorHAnsi" w:eastAsia="Times New Roman" w:hAnsiTheme="minorHAnsi" w:cstheme="minorHAnsi"/>
          <w:sz w:val="24"/>
          <w:szCs w:val="24"/>
          <w:lang w:eastAsia="en-GB"/>
        </w:rPr>
      </w:pPr>
    </w:p>
    <w:p w14:paraId="4F7CA3E5" w14:textId="7BA863E6" w:rsidR="00E54191" w:rsidRPr="00EC1A75" w:rsidRDefault="00C16466" w:rsidP="00E20D72">
      <w:pPr>
        <w:numPr>
          <w:ilvl w:val="0"/>
          <w:numId w:val="9"/>
        </w:numPr>
        <w:spacing w:after="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Empty v Laden Containers</w:t>
      </w:r>
    </w:p>
    <w:p w14:paraId="4E41C47F" w14:textId="77777777" w:rsidR="00E54191" w:rsidRPr="00EC1A75" w:rsidRDefault="00E54191" w:rsidP="00E20D72">
      <w:pPr>
        <w:spacing w:after="0"/>
        <w:ind w:left="720"/>
        <w:jc w:val="both"/>
        <w:rPr>
          <w:rFonts w:asciiTheme="minorHAnsi" w:eastAsia="Times New Roman" w:hAnsiTheme="minorHAnsi" w:cstheme="minorHAnsi"/>
          <w:b/>
          <w:sz w:val="24"/>
          <w:szCs w:val="24"/>
          <w:lang w:eastAsia="en-GB"/>
        </w:rPr>
      </w:pPr>
    </w:p>
    <w:p w14:paraId="611D3E92" w14:textId="77777777" w:rsidR="00E54191" w:rsidRPr="00EC1A75" w:rsidRDefault="00C16466" w:rsidP="00E20D72">
      <w:pPr>
        <w:spacing w:after="0"/>
        <w:ind w:left="72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sz w:val="24"/>
          <w:szCs w:val="24"/>
          <w:lang w:eastAsia="en-GB"/>
        </w:rPr>
        <w:t>In the 2008 Study this was an important consideration. Page 16 read as follows:</w:t>
      </w:r>
    </w:p>
    <w:p w14:paraId="0A80AE23" w14:textId="1C941AFD" w:rsidR="00C16466" w:rsidRPr="00EC1A75" w:rsidRDefault="00C16466" w:rsidP="00EC1A75">
      <w:pPr>
        <w:spacing w:after="0"/>
        <w:ind w:left="720"/>
        <w:jc w:val="both"/>
        <w:rPr>
          <w:rFonts w:asciiTheme="minorHAnsi" w:eastAsia="Times New Roman" w:hAnsiTheme="minorHAnsi" w:cstheme="minorHAnsi"/>
          <w:b/>
          <w:i/>
          <w:sz w:val="24"/>
          <w:szCs w:val="24"/>
          <w:lang w:eastAsia="en-GB"/>
        </w:rPr>
      </w:pPr>
      <w:r w:rsidRPr="00EC1A75">
        <w:rPr>
          <w:rFonts w:asciiTheme="minorHAnsi" w:eastAsia="Times New Roman" w:hAnsiTheme="minorHAnsi" w:cstheme="minorHAnsi"/>
          <w:i/>
          <w:color w:val="C00000"/>
          <w:sz w:val="24"/>
          <w:szCs w:val="24"/>
          <w:lang w:eastAsia="en-GB"/>
        </w:rPr>
        <w:t>“Over the planning period, it is assumed that the balance of laden and empty containers is stable. The basis of this assumption is that the major changes in the production and</w:t>
      </w:r>
      <w:r w:rsidR="00EC1A75" w:rsidRPr="00EC1A75">
        <w:rPr>
          <w:rFonts w:asciiTheme="minorHAnsi" w:eastAsia="Times New Roman" w:hAnsiTheme="minorHAnsi" w:cstheme="minorHAnsi"/>
          <w:i/>
          <w:color w:val="C00000"/>
          <w:sz w:val="24"/>
          <w:szCs w:val="24"/>
          <w:lang w:eastAsia="en-GB"/>
        </w:rPr>
        <w:t xml:space="preserve"> </w:t>
      </w:r>
      <w:r w:rsidRPr="00EC1A75">
        <w:rPr>
          <w:rFonts w:asciiTheme="minorHAnsi" w:eastAsia="Times New Roman" w:hAnsiTheme="minorHAnsi" w:cstheme="minorHAnsi"/>
          <w:i/>
          <w:color w:val="C00000"/>
          <w:sz w:val="24"/>
          <w:szCs w:val="24"/>
          <w:lang w:eastAsia="en-GB"/>
        </w:rPr>
        <w:t xml:space="preserve">distribution of goods has occurred – recall in section 2 it was noted that the ratio of container traffic to imports in terms of value is around 1:1 suggesting that the rate at which imports replaces local goods is now tailing off as import penetration is maturing along with consumption growth.” </w:t>
      </w:r>
    </w:p>
    <w:p w14:paraId="70F48B27" w14:textId="77777777" w:rsidR="00EC1A75" w:rsidRPr="00EC1A75" w:rsidRDefault="00C16466" w:rsidP="00EC1A75">
      <w:pPr>
        <w:spacing w:after="0"/>
        <w:ind w:left="709"/>
        <w:jc w:val="both"/>
        <w:rPr>
          <w:rFonts w:asciiTheme="minorHAnsi" w:eastAsia="Times New Roman" w:hAnsiTheme="minorHAnsi" w:cstheme="minorHAnsi"/>
          <w:color w:val="C00000"/>
          <w:sz w:val="24"/>
          <w:szCs w:val="24"/>
          <w:lang w:eastAsia="en-GB"/>
        </w:rPr>
      </w:pPr>
      <w:r w:rsidRPr="00EC1A75">
        <w:rPr>
          <w:rFonts w:asciiTheme="minorHAnsi" w:eastAsia="Times New Roman" w:hAnsiTheme="minorHAnsi" w:cstheme="minorHAnsi"/>
          <w:sz w:val="24"/>
          <w:szCs w:val="24"/>
          <w:lang w:eastAsia="en-GB"/>
        </w:rPr>
        <w:t xml:space="preserve">The 2008 Study makes further reference to the possibility of other ports handling empty containers with a consequent reduction of demand for off-port land in the vicinity of Felixstowe – page 16 reads: </w:t>
      </w:r>
      <w:r w:rsidRPr="00EC1A75">
        <w:rPr>
          <w:rFonts w:asciiTheme="minorHAnsi" w:eastAsia="Times New Roman" w:hAnsiTheme="minorHAnsi" w:cstheme="minorHAnsi"/>
          <w:i/>
          <w:color w:val="C00000"/>
          <w:sz w:val="24"/>
          <w:szCs w:val="24"/>
          <w:lang w:eastAsia="en-GB"/>
        </w:rPr>
        <w:t xml:space="preserve">“There is an import and export of containers that needs to be balanced – the unloading of full containers from vessels at the port works hand in hand with the loading of laden and importantly empty containers bound for manufacturing regions in Asia. This balance is in part driven by the handling speeds at the port and ship hold capacities whereby faster handling speeds allow for a greater total transfer of containers both off and onto the vessel if </w:t>
      </w:r>
      <w:proofErr w:type="gramStart"/>
      <w:r w:rsidRPr="00EC1A75">
        <w:rPr>
          <w:rFonts w:asciiTheme="minorHAnsi" w:eastAsia="Times New Roman" w:hAnsiTheme="minorHAnsi" w:cstheme="minorHAnsi"/>
          <w:i/>
          <w:color w:val="C00000"/>
          <w:sz w:val="24"/>
          <w:szCs w:val="24"/>
          <w:lang w:eastAsia="en-GB"/>
        </w:rPr>
        <w:t>sufficient</w:t>
      </w:r>
      <w:proofErr w:type="gramEnd"/>
      <w:r w:rsidRPr="00EC1A75">
        <w:rPr>
          <w:rFonts w:asciiTheme="minorHAnsi" w:eastAsia="Times New Roman" w:hAnsiTheme="minorHAnsi" w:cstheme="minorHAnsi"/>
          <w:i/>
          <w:color w:val="C00000"/>
          <w:sz w:val="24"/>
          <w:szCs w:val="24"/>
          <w:lang w:eastAsia="en-GB"/>
        </w:rPr>
        <w:t xml:space="preserve"> room is available in the hold. It is understood there are issues at Felixstowe on getting this balance right and a work-around solution has been put in place. (Note 13) The port of Ipswich is </w:t>
      </w:r>
      <w:r w:rsidRPr="00EC1A75">
        <w:rPr>
          <w:rFonts w:asciiTheme="minorHAnsi" w:eastAsia="Times New Roman" w:hAnsiTheme="minorHAnsi" w:cstheme="minorHAnsi"/>
          <w:i/>
          <w:color w:val="C00000"/>
          <w:sz w:val="24"/>
          <w:szCs w:val="24"/>
          <w:lang w:eastAsia="en-GB"/>
        </w:rPr>
        <w:lastRenderedPageBreak/>
        <w:t xml:space="preserve">already benefiting from the pressure to export </w:t>
      </w:r>
      <w:proofErr w:type="gramStart"/>
      <w:r w:rsidRPr="00EC1A75">
        <w:rPr>
          <w:rFonts w:asciiTheme="minorHAnsi" w:eastAsia="Times New Roman" w:hAnsiTheme="minorHAnsi" w:cstheme="minorHAnsi"/>
          <w:i/>
          <w:color w:val="C00000"/>
          <w:sz w:val="24"/>
          <w:szCs w:val="24"/>
          <w:lang w:eastAsia="en-GB"/>
        </w:rPr>
        <w:t>containers, and</w:t>
      </w:r>
      <w:proofErr w:type="gramEnd"/>
      <w:r w:rsidRPr="00EC1A75">
        <w:rPr>
          <w:rFonts w:asciiTheme="minorHAnsi" w:eastAsia="Times New Roman" w:hAnsiTheme="minorHAnsi" w:cstheme="minorHAnsi"/>
          <w:i/>
          <w:color w:val="C00000"/>
          <w:sz w:val="24"/>
          <w:szCs w:val="24"/>
          <w:lang w:eastAsia="en-GB"/>
        </w:rPr>
        <w:t xml:space="preserve"> is exporting 180,000 TEU per annum via feeder ships based on a 10 ha container storage yard.”</w:t>
      </w:r>
      <w:r w:rsidR="00EC1A75" w:rsidRPr="00EC1A75">
        <w:rPr>
          <w:rFonts w:asciiTheme="minorHAnsi" w:eastAsia="Times New Roman" w:hAnsiTheme="minorHAnsi" w:cstheme="minorHAnsi"/>
          <w:color w:val="C00000"/>
          <w:sz w:val="24"/>
          <w:szCs w:val="24"/>
          <w:lang w:eastAsia="en-GB"/>
        </w:rPr>
        <w:t xml:space="preserve"> </w:t>
      </w:r>
    </w:p>
    <w:p w14:paraId="2D6261B2" w14:textId="1987271F" w:rsidR="00C16466" w:rsidRPr="00EC1A75" w:rsidRDefault="00C16466" w:rsidP="00EC1A75">
      <w:pPr>
        <w:spacing w:after="0"/>
        <w:ind w:left="709"/>
        <w:jc w:val="both"/>
        <w:rPr>
          <w:rFonts w:asciiTheme="minorHAnsi" w:eastAsia="Times New Roman" w:hAnsiTheme="minorHAnsi" w:cstheme="minorHAnsi"/>
          <w:color w:val="C00000"/>
          <w:sz w:val="24"/>
          <w:szCs w:val="24"/>
          <w:lang w:eastAsia="en-GB"/>
        </w:rPr>
      </w:pPr>
      <w:r w:rsidRPr="00EC1A75">
        <w:rPr>
          <w:rFonts w:asciiTheme="minorHAnsi" w:eastAsia="Times New Roman" w:hAnsiTheme="minorHAnsi" w:cstheme="minorHAnsi"/>
          <w:i/>
          <w:color w:val="C00000"/>
          <w:sz w:val="24"/>
          <w:szCs w:val="24"/>
          <w:lang w:eastAsia="en-GB"/>
        </w:rPr>
        <w:t>“Note 13</w:t>
      </w:r>
      <w:r w:rsidR="00EC1A75" w:rsidRPr="00EC1A75">
        <w:rPr>
          <w:rFonts w:asciiTheme="minorHAnsi" w:eastAsia="Times New Roman" w:hAnsiTheme="minorHAnsi" w:cstheme="minorHAnsi"/>
          <w:i/>
          <w:color w:val="C00000"/>
          <w:sz w:val="24"/>
          <w:szCs w:val="24"/>
          <w:lang w:eastAsia="en-GB"/>
        </w:rPr>
        <w:t xml:space="preserve"> -</w:t>
      </w:r>
      <w:r w:rsidRPr="00EC1A75">
        <w:rPr>
          <w:rFonts w:asciiTheme="minorHAnsi" w:eastAsia="Times New Roman" w:hAnsiTheme="minorHAnsi" w:cstheme="minorHAnsi"/>
          <w:i/>
          <w:color w:val="C00000"/>
          <w:sz w:val="24"/>
          <w:szCs w:val="24"/>
          <w:lang w:eastAsia="en-GB"/>
        </w:rPr>
        <w:t xml:space="preserve"> In this respect, a clear demand for additional capacity to export empty containers has been supplied by the nearby Port of Ipswich which currently provides 3 feeder ships each transporting 170 TEU’s per day to the European port of Zeebrugge. The Port of Ipswich is currently able to store approximately 3,500 TEU for export via these feeder ships.”</w:t>
      </w:r>
    </w:p>
    <w:p w14:paraId="788E854B" w14:textId="39F65EC6" w:rsidR="00C16466" w:rsidRPr="00EC1A75" w:rsidRDefault="00C16466" w:rsidP="00E20D72">
      <w:pPr>
        <w:spacing w:after="0"/>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There is no evidence that the 2018 Port Study revisited this analysis.</w:t>
      </w:r>
    </w:p>
    <w:p w14:paraId="7CFC2626" w14:textId="77777777" w:rsidR="0057217E" w:rsidRPr="00EC1A75" w:rsidRDefault="0057217E" w:rsidP="00E20D72">
      <w:pPr>
        <w:spacing w:after="0"/>
        <w:ind w:left="709"/>
        <w:jc w:val="both"/>
        <w:rPr>
          <w:rFonts w:asciiTheme="minorHAnsi" w:eastAsia="Times New Roman" w:hAnsiTheme="minorHAnsi" w:cstheme="minorHAnsi"/>
          <w:b/>
          <w:sz w:val="24"/>
          <w:szCs w:val="24"/>
          <w:lang w:eastAsia="en-GB"/>
        </w:rPr>
      </w:pPr>
    </w:p>
    <w:p w14:paraId="52B1A4E8" w14:textId="041048E7" w:rsidR="00E54191" w:rsidRPr="00EC1A75" w:rsidRDefault="00C16466" w:rsidP="00E20D72">
      <w:pPr>
        <w:numPr>
          <w:ilvl w:val="0"/>
          <w:numId w:val="9"/>
        </w:numPr>
        <w:spacing w:after="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Lorry Parking</w:t>
      </w:r>
    </w:p>
    <w:p w14:paraId="6F4B88F9" w14:textId="77777777" w:rsidR="00E54191" w:rsidRPr="00EC1A75" w:rsidRDefault="00E54191" w:rsidP="00E20D72">
      <w:pPr>
        <w:spacing w:after="0"/>
        <w:ind w:left="720"/>
        <w:jc w:val="both"/>
        <w:rPr>
          <w:rFonts w:asciiTheme="minorHAnsi" w:eastAsia="Times New Roman" w:hAnsiTheme="minorHAnsi" w:cstheme="minorHAnsi"/>
          <w:color w:val="C00000"/>
          <w:sz w:val="24"/>
          <w:szCs w:val="24"/>
          <w:lang w:eastAsia="en-GB"/>
        </w:rPr>
      </w:pPr>
    </w:p>
    <w:p w14:paraId="0E9C78B9" w14:textId="45DC0966" w:rsidR="00C16466" w:rsidRPr="00EC1A75" w:rsidRDefault="00E54191" w:rsidP="00E20D72">
      <w:pPr>
        <w:spacing w:after="0"/>
        <w:ind w:left="720"/>
        <w:jc w:val="both"/>
        <w:rPr>
          <w:rFonts w:asciiTheme="minorHAnsi" w:eastAsia="Times New Roman" w:hAnsiTheme="minorHAnsi" w:cstheme="minorHAnsi"/>
          <w:color w:val="C00000"/>
          <w:sz w:val="24"/>
          <w:szCs w:val="24"/>
          <w:lang w:eastAsia="en-GB"/>
        </w:rPr>
      </w:pPr>
      <w:r w:rsidRPr="00EC1A75">
        <w:rPr>
          <w:rFonts w:asciiTheme="minorHAnsi" w:eastAsia="Times New Roman" w:hAnsiTheme="minorHAnsi" w:cstheme="minorHAnsi"/>
          <w:sz w:val="24"/>
          <w:szCs w:val="24"/>
          <w:lang w:eastAsia="en-GB"/>
        </w:rPr>
        <w:t>T</w:t>
      </w:r>
      <w:r w:rsidR="00C16466" w:rsidRPr="00EC1A75">
        <w:rPr>
          <w:rFonts w:asciiTheme="minorHAnsi" w:eastAsia="Times New Roman" w:hAnsiTheme="minorHAnsi" w:cstheme="minorHAnsi"/>
          <w:sz w:val="24"/>
          <w:szCs w:val="24"/>
          <w:lang w:eastAsia="en-GB"/>
        </w:rPr>
        <w:t>he 2018 Study, whilst observing the need for additional HGV parking in the Eastern Area, says at para 4.20 sub para 5</w:t>
      </w:r>
      <w:r w:rsidR="00C16466" w:rsidRPr="00EC1A75">
        <w:rPr>
          <w:rFonts w:asciiTheme="minorHAnsi" w:eastAsia="Times New Roman" w:hAnsiTheme="minorHAnsi" w:cstheme="minorHAnsi"/>
          <w:color w:val="C00000"/>
          <w:sz w:val="24"/>
          <w:szCs w:val="24"/>
          <w:lang w:eastAsia="en-GB"/>
        </w:rPr>
        <w:t xml:space="preserve">: </w:t>
      </w:r>
      <w:r w:rsidR="00C16466" w:rsidRPr="00EC1A75">
        <w:rPr>
          <w:rFonts w:asciiTheme="minorHAnsi" w:eastAsia="Times New Roman" w:hAnsiTheme="minorHAnsi" w:cstheme="minorHAnsi"/>
          <w:i/>
          <w:color w:val="C00000"/>
          <w:sz w:val="24"/>
          <w:szCs w:val="24"/>
          <w:lang w:eastAsia="en-GB"/>
        </w:rPr>
        <w:t>“No specific allowance has been made for lorry parking areas which are outside the scope of this assessment. These assumptions are consistent with the 2008 study.” (2008 Study page 2: “</w:t>
      </w:r>
      <w:r w:rsidR="00C16466" w:rsidRPr="00EC1A75">
        <w:rPr>
          <w:rFonts w:asciiTheme="minorHAnsi" w:hAnsiTheme="minorHAnsi" w:cstheme="minorHAnsi"/>
          <w:i/>
          <w:color w:val="C00000"/>
          <w:sz w:val="24"/>
          <w:szCs w:val="24"/>
        </w:rPr>
        <w:t>The land estimate does not include the quantity of land required for lorry parking.”)</w:t>
      </w:r>
    </w:p>
    <w:p w14:paraId="6D226AEF" w14:textId="261BB714" w:rsidR="00C16466" w:rsidRPr="00EC1A75" w:rsidRDefault="00C16466" w:rsidP="00EC1A75">
      <w:pPr>
        <w:spacing w:after="0"/>
        <w:ind w:left="709"/>
        <w:jc w:val="both"/>
        <w:rPr>
          <w:rFonts w:asciiTheme="minorHAnsi" w:eastAsia="Times New Roman" w:hAnsiTheme="minorHAnsi" w:cstheme="minorHAnsi"/>
          <w:i/>
          <w:sz w:val="24"/>
          <w:szCs w:val="24"/>
          <w:lang w:eastAsia="en-GB"/>
        </w:rPr>
      </w:pPr>
      <w:r w:rsidRPr="00EC1A75">
        <w:rPr>
          <w:rFonts w:asciiTheme="minorHAnsi" w:eastAsia="Times New Roman" w:hAnsiTheme="minorHAnsi" w:cstheme="minorHAnsi"/>
          <w:sz w:val="24"/>
          <w:szCs w:val="24"/>
          <w:lang w:eastAsia="en-GB"/>
        </w:rPr>
        <w:t>SCDC’s Final Plan, however, reads:</w:t>
      </w:r>
      <w:r w:rsidR="00EC1A75"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i/>
          <w:color w:val="C00000"/>
          <w:sz w:val="24"/>
          <w:szCs w:val="24"/>
          <w:lang w:eastAsia="en-GB"/>
        </w:rPr>
        <w:t>“</w:t>
      </w:r>
      <w:r w:rsidRPr="00EC1A75">
        <w:rPr>
          <w:rFonts w:asciiTheme="minorHAnsi" w:hAnsiTheme="minorHAnsi" w:cstheme="minorHAnsi"/>
          <w:i/>
          <w:color w:val="C00000"/>
          <w:sz w:val="24"/>
          <w:szCs w:val="24"/>
        </w:rPr>
        <w:t>Policy SCLP12.35: Land at Innocence Farm</w:t>
      </w:r>
      <w:r w:rsidR="00EC1A75" w:rsidRPr="00EC1A75">
        <w:rPr>
          <w:rFonts w:asciiTheme="minorHAnsi" w:hAnsiTheme="minorHAnsi" w:cstheme="minorHAnsi"/>
          <w:i/>
          <w:color w:val="C00000"/>
          <w:sz w:val="24"/>
          <w:szCs w:val="24"/>
        </w:rPr>
        <w:t>.</w:t>
      </w:r>
      <w:r w:rsidR="00EC1A75" w:rsidRPr="00EC1A75">
        <w:rPr>
          <w:rFonts w:asciiTheme="minorHAnsi" w:eastAsia="Times New Roman" w:hAnsiTheme="minorHAnsi" w:cstheme="minorHAnsi"/>
          <w:i/>
          <w:sz w:val="24"/>
          <w:szCs w:val="24"/>
          <w:lang w:eastAsia="en-GB"/>
        </w:rPr>
        <w:t xml:space="preserve"> </w:t>
      </w:r>
      <w:r w:rsidRPr="00EC1A75">
        <w:rPr>
          <w:rFonts w:asciiTheme="minorHAnsi" w:hAnsiTheme="minorHAnsi" w:cstheme="minorHAnsi"/>
          <w:i/>
          <w:color w:val="C00000"/>
          <w:sz w:val="24"/>
          <w:szCs w:val="24"/>
        </w:rPr>
        <w:t>A large</w:t>
      </w:r>
      <w:r w:rsidR="00EC1A75" w:rsidRPr="00EC1A75">
        <w:rPr>
          <w:rFonts w:asciiTheme="minorHAnsi" w:hAnsiTheme="minorHAnsi" w:cstheme="minorHAnsi"/>
          <w:i/>
          <w:color w:val="C00000"/>
          <w:sz w:val="24"/>
          <w:szCs w:val="24"/>
        </w:rPr>
        <w:t>-</w:t>
      </w:r>
      <w:r w:rsidRPr="00EC1A75">
        <w:rPr>
          <w:rFonts w:asciiTheme="minorHAnsi" w:hAnsiTheme="minorHAnsi" w:cstheme="minorHAnsi"/>
          <w:i/>
          <w:color w:val="C00000"/>
          <w:sz w:val="24"/>
          <w:szCs w:val="24"/>
        </w:rPr>
        <w:t>scale employment allocation of approximately 67ha is identified on the western part of the site at Innocence Farm to support the continued viability of the Port of Felixstowe and other related businesses including HGV parking.”</w:t>
      </w:r>
    </w:p>
    <w:p w14:paraId="5C6D36DA" w14:textId="77777777" w:rsidR="00C16466" w:rsidRPr="00EC1A75" w:rsidRDefault="00C16466" w:rsidP="00E20D72">
      <w:pPr>
        <w:spacing w:after="0"/>
        <w:ind w:left="709"/>
        <w:jc w:val="both"/>
        <w:rPr>
          <w:rFonts w:asciiTheme="minorHAnsi" w:hAnsiTheme="minorHAnsi" w:cstheme="minorHAnsi"/>
          <w:sz w:val="24"/>
          <w:szCs w:val="24"/>
        </w:rPr>
      </w:pPr>
      <w:r w:rsidRPr="00EC1A75">
        <w:rPr>
          <w:rFonts w:asciiTheme="minorHAnsi" w:hAnsiTheme="minorHAnsi" w:cstheme="minorHAnsi"/>
          <w:sz w:val="24"/>
          <w:szCs w:val="24"/>
        </w:rPr>
        <w:t xml:space="preserve">To the extent that the 2018 Port Study explicitly excluded HGV parking from its analysis, this must mean that its inclusion at Innocence Farm would reduce the capacity of the 67Ha. to cater for the demands identified for container storage and warehousing. </w:t>
      </w:r>
    </w:p>
    <w:p w14:paraId="23C226B8" w14:textId="6A541C09" w:rsidR="00E54191" w:rsidRPr="00EC1A75" w:rsidRDefault="00C16466" w:rsidP="00E20D72">
      <w:pPr>
        <w:ind w:left="709"/>
        <w:jc w:val="both"/>
        <w:rPr>
          <w:rFonts w:asciiTheme="minorHAnsi" w:eastAsia="Times New Roman" w:hAnsiTheme="minorHAnsi" w:cstheme="minorHAnsi"/>
          <w:i/>
          <w:color w:val="C00000"/>
          <w:sz w:val="24"/>
          <w:szCs w:val="24"/>
          <w:lang w:eastAsia="en-GB"/>
        </w:rPr>
      </w:pPr>
      <w:r w:rsidRPr="00EC1A75">
        <w:rPr>
          <w:rFonts w:asciiTheme="minorHAnsi" w:hAnsiTheme="minorHAnsi" w:cstheme="minorHAnsi"/>
          <w:sz w:val="24"/>
          <w:szCs w:val="24"/>
        </w:rPr>
        <w:t xml:space="preserve">It is also worth noting that the 2008 Study at page 23 said: </w:t>
      </w:r>
      <w:r w:rsidRPr="00EC1A75">
        <w:rPr>
          <w:rFonts w:asciiTheme="minorHAnsi" w:hAnsiTheme="minorHAnsi" w:cstheme="minorHAnsi"/>
          <w:i/>
          <w:color w:val="C00000"/>
          <w:sz w:val="24"/>
          <w:szCs w:val="24"/>
        </w:rPr>
        <w:t>“</w:t>
      </w:r>
      <w:r w:rsidRPr="00EC1A75">
        <w:rPr>
          <w:rFonts w:asciiTheme="minorHAnsi" w:eastAsia="Times New Roman" w:hAnsiTheme="minorHAnsi" w:cstheme="minorHAnsi"/>
          <w:i/>
          <w:color w:val="C00000"/>
          <w:sz w:val="24"/>
          <w:szCs w:val="24"/>
          <w:lang w:eastAsia="en-GB"/>
        </w:rPr>
        <w:t>A series of sites available alongside the A14, within Suffolk would offer a more environmentally acceptable option than one large site, and address traffic congestion issues at and east of A14/A12 Seven Hills interchange.”</w:t>
      </w:r>
    </w:p>
    <w:p w14:paraId="3787C0A7" w14:textId="6DF699E9" w:rsidR="00E54191" w:rsidRPr="00EC1A75" w:rsidRDefault="00C16466" w:rsidP="00E20D72">
      <w:pPr>
        <w:numPr>
          <w:ilvl w:val="0"/>
          <w:numId w:val="9"/>
        </w:numPr>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The Biggest Mystery – the “67Ha. Pipeline”</w:t>
      </w:r>
    </w:p>
    <w:p w14:paraId="1DBB8909" w14:textId="4AF0A816" w:rsidR="00C16466" w:rsidRPr="00EC1A75" w:rsidRDefault="00E54191" w:rsidP="00EC1A75">
      <w:pPr>
        <w:ind w:left="720"/>
        <w:jc w:val="both"/>
        <w:rPr>
          <w:rFonts w:asciiTheme="minorHAnsi" w:eastAsia="Times New Roman" w:hAnsiTheme="minorHAnsi" w:cstheme="minorHAnsi"/>
          <w:color w:val="C00000"/>
          <w:sz w:val="24"/>
          <w:szCs w:val="24"/>
          <w:lang w:eastAsia="en-GB"/>
        </w:rPr>
      </w:pPr>
      <w:r w:rsidRPr="00EC1A75">
        <w:rPr>
          <w:rFonts w:asciiTheme="minorHAnsi" w:eastAsia="Times New Roman" w:hAnsiTheme="minorHAnsi" w:cstheme="minorHAnsi"/>
          <w:sz w:val="24"/>
          <w:szCs w:val="24"/>
          <w:lang w:eastAsia="en-GB"/>
        </w:rPr>
        <w:t>T</w:t>
      </w:r>
      <w:r w:rsidR="00C16466" w:rsidRPr="00EC1A75">
        <w:rPr>
          <w:rFonts w:asciiTheme="minorHAnsi" w:eastAsia="Times New Roman" w:hAnsiTheme="minorHAnsi" w:cstheme="minorHAnsi"/>
          <w:sz w:val="24"/>
          <w:szCs w:val="24"/>
          <w:lang w:eastAsia="en-GB"/>
        </w:rPr>
        <w:t>he Executive Summary of the 2018 Study says</w:t>
      </w:r>
      <w:proofErr w:type="gramStart"/>
      <w:r w:rsidR="00C16466" w:rsidRPr="00EC1A75">
        <w:rPr>
          <w:rFonts w:asciiTheme="minorHAnsi" w:eastAsia="Times New Roman" w:hAnsiTheme="minorHAnsi" w:cstheme="minorHAnsi"/>
          <w:sz w:val="24"/>
          <w:szCs w:val="24"/>
          <w:lang w:eastAsia="en-GB"/>
        </w:rPr>
        <w:t>:</w:t>
      </w:r>
      <w:r w:rsidR="00EC1A75" w:rsidRPr="00EC1A75">
        <w:rPr>
          <w:rFonts w:asciiTheme="minorHAnsi" w:eastAsia="Times New Roman" w:hAnsiTheme="minorHAnsi" w:cstheme="minorHAnsi"/>
          <w:color w:val="C00000"/>
          <w:sz w:val="24"/>
          <w:szCs w:val="24"/>
          <w:lang w:eastAsia="en-GB"/>
        </w:rPr>
        <w:t xml:space="preserve">  </w:t>
      </w:r>
      <w:r w:rsidR="00C16466" w:rsidRPr="00EC1A75">
        <w:rPr>
          <w:rFonts w:asciiTheme="minorHAnsi" w:eastAsia="Times New Roman" w:hAnsiTheme="minorHAnsi" w:cstheme="minorHAnsi"/>
          <w:i/>
          <w:color w:val="C00000"/>
          <w:sz w:val="24"/>
          <w:szCs w:val="24"/>
          <w:lang w:eastAsia="en-GB"/>
        </w:rPr>
        <w:t>“</w:t>
      </w:r>
      <w:proofErr w:type="gramEnd"/>
      <w:r w:rsidR="00C16466" w:rsidRPr="00EC1A75">
        <w:rPr>
          <w:rFonts w:asciiTheme="minorHAnsi" w:eastAsia="Times New Roman" w:hAnsiTheme="minorHAnsi" w:cstheme="minorHAnsi"/>
          <w:i/>
          <w:color w:val="C00000"/>
          <w:sz w:val="24"/>
          <w:szCs w:val="24"/>
          <w:lang w:eastAsia="en-GB"/>
        </w:rPr>
        <w:t>Future supply</w:t>
      </w:r>
      <w:r w:rsidRPr="00EC1A75">
        <w:rPr>
          <w:rFonts w:asciiTheme="minorHAnsi" w:eastAsia="Times New Roman" w:hAnsiTheme="minorHAnsi" w:cstheme="minorHAnsi"/>
          <w:i/>
          <w:color w:val="C00000"/>
          <w:sz w:val="24"/>
          <w:szCs w:val="24"/>
          <w:lang w:eastAsia="en-GB"/>
        </w:rPr>
        <w:t xml:space="preserve">. </w:t>
      </w:r>
      <w:r w:rsidR="00C16466" w:rsidRPr="00EC1A75">
        <w:rPr>
          <w:rFonts w:asciiTheme="minorHAnsi" w:eastAsia="Times New Roman" w:hAnsiTheme="minorHAnsi" w:cstheme="minorHAnsi"/>
          <w:i/>
          <w:color w:val="C00000"/>
          <w:sz w:val="24"/>
          <w:szCs w:val="24"/>
          <w:lang w:eastAsia="en-GB"/>
        </w:rPr>
        <w:t xml:space="preserve">An assessment of the supply of land that might be, or become, available to meet future off-port land demand associated with the Port of Felixstowe over the new Suffolk Coastal Local Plan period has been undertaken as part of this study. Based on latest Council monitoring data, the existing pipeline supply of employment land that is </w:t>
      </w:r>
      <w:proofErr w:type="gramStart"/>
      <w:r w:rsidR="00C16466" w:rsidRPr="00EC1A75">
        <w:rPr>
          <w:rFonts w:asciiTheme="minorHAnsi" w:eastAsia="Times New Roman" w:hAnsiTheme="minorHAnsi" w:cstheme="minorHAnsi"/>
          <w:i/>
          <w:color w:val="C00000"/>
          <w:sz w:val="24"/>
          <w:szCs w:val="24"/>
          <w:lang w:eastAsia="en-GB"/>
        </w:rPr>
        <w:t>in close proximity to</w:t>
      </w:r>
      <w:proofErr w:type="gramEnd"/>
      <w:r w:rsidR="00C16466" w:rsidRPr="00EC1A75">
        <w:rPr>
          <w:rFonts w:asciiTheme="minorHAnsi" w:eastAsia="Times New Roman" w:hAnsiTheme="minorHAnsi" w:cstheme="minorHAnsi"/>
          <w:i/>
          <w:color w:val="C00000"/>
          <w:sz w:val="24"/>
          <w:szCs w:val="24"/>
          <w:lang w:eastAsia="en-GB"/>
        </w:rPr>
        <w:t xml:space="preserve"> the Port of Felixstowe and considered suitable for port-related activities totals just over 67 ha. This quantum would be sufficient – in quantitative terms – to accommodate the low and central case growth scenarios, while additional land would be required to meet the high growth case in full.”</w:t>
      </w:r>
    </w:p>
    <w:p w14:paraId="0A15EB0D" w14:textId="040830E3" w:rsidR="00C16466" w:rsidRPr="00EC1A75" w:rsidRDefault="00C16466" w:rsidP="00E20D72">
      <w:pPr>
        <w:spacing w:after="0"/>
        <w:ind w:left="709"/>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sz w:val="24"/>
          <w:szCs w:val="24"/>
          <w:lang w:eastAsia="en-GB"/>
        </w:rPr>
        <w:t>It would be important to identify which specific sites made up the 67Ha. in that Innocence Farm was not one of them.</w:t>
      </w:r>
      <w:r w:rsidR="00E54191"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It would be even more important to understand how these conclusions can be consistent with SCDC now going for 67Ha. at Innocence Farm.</w:t>
      </w:r>
    </w:p>
    <w:p w14:paraId="05E70CC5" w14:textId="77777777" w:rsidR="00C16466" w:rsidRPr="00EC1A75" w:rsidRDefault="00C16466" w:rsidP="00E20D72">
      <w:pPr>
        <w:spacing w:after="0"/>
        <w:ind w:left="709"/>
        <w:jc w:val="both"/>
        <w:rPr>
          <w:rFonts w:asciiTheme="minorHAnsi" w:eastAsia="Times New Roman" w:hAnsiTheme="minorHAnsi" w:cstheme="minorHAnsi"/>
          <w:b/>
          <w:sz w:val="24"/>
          <w:szCs w:val="24"/>
          <w:lang w:eastAsia="en-GB"/>
        </w:rPr>
      </w:pPr>
    </w:p>
    <w:p w14:paraId="6D59DAF1" w14:textId="2B312FC3" w:rsidR="00E54191" w:rsidRPr="00EC1A75" w:rsidRDefault="00C16466" w:rsidP="00E20D72">
      <w:pPr>
        <w:numPr>
          <w:ilvl w:val="0"/>
          <w:numId w:val="9"/>
        </w:numPr>
        <w:spacing w:after="0"/>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 xml:space="preserve">Overall – 2018 compared with 2008 </w:t>
      </w:r>
    </w:p>
    <w:p w14:paraId="7DFA0918" w14:textId="77777777" w:rsidR="00E54191" w:rsidRPr="00EC1A75" w:rsidRDefault="00E54191" w:rsidP="00E20D72">
      <w:pPr>
        <w:spacing w:after="0"/>
        <w:ind w:left="720"/>
        <w:jc w:val="both"/>
        <w:rPr>
          <w:rFonts w:asciiTheme="minorHAnsi" w:eastAsia="Times New Roman" w:hAnsiTheme="minorHAnsi" w:cstheme="minorHAnsi"/>
          <w:sz w:val="24"/>
          <w:szCs w:val="24"/>
          <w:lang w:eastAsia="en-GB"/>
        </w:rPr>
      </w:pPr>
    </w:p>
    <w:p w14:paraId="0BE19A24" w14:textId="6A5ED29F" w:rsidR="00C16466" w:rsidRPr="00EC1A75" w:rsidRDefault="00E54191" w:rsidP="00E20D72">
      <w:pPr>
        <w:spacing w:after="0"/>
        <w:ind w:left="720"/>
        <w:jc w:val="both"/>
        <w:rPr>
          <w:rFonts w:asciiTheme="minorHAnsi" w:hAnsiTheme="minorHAnsi" w:cstheme="minorHAnsi"/>
          <w:sz w:val="24"/>
          <w:szCs w:val="24"/>
        </w:rPr>
      </w:pPr>
      <w:r w:rsidRPr="00EC1A75">
        <w:rPr>
          <w:rFonts w:asciiTheme="minorHAnsi" w:eastAsia="Times New Roman" w:hAnsiTheme="minorHAnsi" w:cstheme="minorHAnsi"/>
          <w:sz w:val="24"/>
          <w:szCs w:val="24"/>
          <w:lang w:eastAsia="en-GB"/>
        </w:rPr>
        <w:t>I</w:t>
      </w:r>
      <w:r w:rsidR="00C16466" w:rsidRPr="00EC1A75">
        <w:rPr>
          <w:rFonts w:asciiTheme="minorHAnsi" w:eastAsia="Times New Roman" w:hAnsiTheme="minorHAnsi" w:cstheme="minorHAnsi"/>
          <w:sz w:val="24"/>
          <w:szCs w:val="24"/>
          <w:lang w:eastAsia="en-GB"/>
        </w:rPr>
        <w:t xml:space="preserve">t is readily apparent the 2018 Study bears little comparison to its impressive predecessor. </w:t>
      </w:r>
      <w:r w:rsidR="00C16466" w:rsidRPr="00EC1A75">
        <w:rPr>
          <w:rFonts w:asciiTheme="minorHAnsi" w:hAnsiTheme="minorHAnsi" w:cstheme="minorHAnsi"/>
          <w:sz w:val="24"/>
          <w:szCs w:val="24"/>
        </w:rPr>
        <w:t>Overall, it is a pale imitation in many respects not least to the extent that any consultation was minimal. Rather than a series of interviews before the Study and a workshop afterwards with major players (44) in the industry – shipping lines, logistics companies - and other local authorities – a single workshop was held involving only 14 local entities, referred to as “stakeholders” with land agents and estate agents among their number.</w:t>
      </w:r>
    </w:p>
    <w:p w14:paraId="68E30FDF" w14:textId="52C31B91" w:rsidR="00C16466" w:rsidRPr="00EC1A75" w:rsidRDefault="00C16466" w:rsidP="00E20D72">
      <w:pPr>
        <w:spacing w:after="0"/>
        <w:ind w:left="709"/>
        <w:jc w:val="both"/>
        <w:rPr>
          <w:rFonts w:asciiTheme="minorHAnsi" w:hAnsiTheme="minorHAnsi" w:cstheme="minorHAnsi"/>
          <w:sz w:val="24"/>
          <w:szCs w:val="24"/>
        </w:rPr>
      </w:pPr>
      <w:r w:rsidRPr="00EC1A75">
        <w:rPr>
          <w:rFonts w:asciiTheme="minorHAnsi" w:hAnsiTheme="minorHAnsi" w:cstheme="minorHAnsi"/>
          <w:sz w:val="24"/>
          <w:szCs w:val="24"/>
        </w:rPr>
        <w:t>It also failed to address the various “metrics” of ports and logistics science, either ignoring them altogether or failing to establish current values for highly significant parameters, relying instead on long-since outdated values</w:t>
      </w:r>
      <w:r w:rsidR="00E54191" w:rsidRPr="00EC1A75">
        <w:rPr>
          <w:rFonts w:asciiTheme="minorHAnsi" w:hAnsiTheme="minorHAnsi" w:cstheme="minorHAnsi"/>
          <w:sz w:val="24"/>
          <w:szCs w:val="24"/>
        </w:rPr>
        <w:t>,</w:t>
      </w:r>
      <w:r w:rsidRPr="00EC1A75">
        <w:rPr>
          <w:rFonts w:asciiTheme="minorHAnsi" w:hAnsiTheme="minorHAnsi" w:cstheme="minorHAnsi"/>
          <w:sz w:val="24"/>
          <w:szCs w:val="24"/>
        </w:rPr>
        <w:t xml:space="preserve"> unlikely to hold over the Plan period to 2036.</w:t>
      </w:r>
    </w:p>
    <w:p w14:paraId="69E4D213" w14:textId="77777777" w:rsidR="00C16466" w:rsidRPr="00EC1A75" w:rsidRDefault="00C16466" w:rsidP="00E20D72">
      <w:pPr>
        <w:spacing w:after="0"/>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To their credit, the authors of the 2018 Study emphasise the extent to which they drew on the 2008 Study and that prudence would imply sensitivity testing around and between the important assumptions:</w:t>
      </w:r>
    </w:p>
    <w:p w14:paraId="0A5C0A9B" w14:textId="77777777" w:rsidR="00C16466" w:rsidRPr="00EC1A75" w:rsidRDefault="00C16466" w:rsidP="00E20D72">
      <w:pPr>
        <w:spacing w:after="0" w:line="240" w:lineRule="auto"/>
        <w:ind w:left="709"/>
        <w:jc w:val="both"/>
        <w:rPr>
          <w:rFonts w:asciiTheme="minorHAnsi" w:eastAsia="Times New Roman" w:hAnsiTheme="minorHAnsi" w:cstheme="minorHAnsi"/>
          <w:i/>
          <w:color w:val="C00000"/>
          <w:sz w:val="24"/>
          <w:szCs w:val="24"/>
          <w:lang w:eastAsia="en-GB"/>
        </w:rPr>
      </w:pPr>
      <w:r w:rsidRPr="00EC1A75">
        <w:rPr>
          <w:rFonts w:asciiTheme="minorHAnsi" w:eastAsia="Times New Roman" w:hAnsiTheme="minorHAnsi" w:cstheme="minorHAnsi"/>
          <w:i/>
          <w:color w:val="C00000"/>
          <w:sz w:val="24"/>
          <w:szCs w:val="24"/>
          <w:lang w:eastAsia="en-GB"/>
        </w:rPr>
        <w:t>“Caveats and limitations</w:t>
      </w:r>
    </w:p>
    <w:p w14:paraId="59127814" w14:textId="0D6D40F1" w:rsidR="0057217E" w:rsidRPr="00EC1A75" w:rsidRDefault="00C16466" w:rsidP="00EC1A75">
      <w:pPr>
        <w:spacing w:after="0" w:line="240" w:lineRule="auto"/>
        <w:ind w:left="709"/>
        <w:jc w:val="both"/>
        <w:rPr>
          <w:rFonts w:asciiTheme="minorHAnsi" w:eastAsia="Times New Roman" w:hAnsiTheme="minorHAnsi" w:cstheme="minorHAnsi"/>
          <w:i/>
          <w:color w:val="C00000"/>
          <w:sz w:val="24"/>
          <w:szCs w:val="24"/>
          <w:lang w:eastAsia="en-GB"/>
        </w:rPr>
      </w:pPr>
      <w:r w:rsidRPr="00EC1A75">
        <w:rPr>
          <w:rFonts w:asciiTheme="minorHAnsi" w:eastAsia="Times New Roman" w:hAnsiTheme="minorHAnsi" w:cstheme="minorHAnsi"/>
          <w:i/>
          <w:color w:val="C00000"/>
          <w:sz w:val="24"/>
          <w:szCs w:val="24"/>
          <w:lang w:eastAsia="en-GB"/>
        </w:rPr>
        <w:t xml:space="preserve">4.27 The methodology outlined above applies </w:t>
      </w:r>
      <w:proofErr w:type="gramStart"/>
      <w:r w:rsidRPr="00EC1A75">
        <w:rPr>
          <w:rFonts w:asciiTheme="minorHAnsi" w:eastAsia="Times New Roman" w:hAnsiTheme="minorHAnsi" w:cstheme="minorHAnsi"/>
          <w:i/>
          <w:color w:val="C00000"/>
          <w:sz w:val="24"/>
          <w:szCs w:val="24"/>
          <w:lang w:eastAsia="en-GB"/>
        </w:rPr>
        <w:t>a number of</w:t>
      </w:r>
      <w:proofErr w:type="gramEnd"/>
      <w:r w:rsidRPr="00EC1A75">
        <w:rPr>
          <w:rFonts w:asciiTheme="minorHAnsi" w:eastAsia="Times New Roman" w:hAnsiTheme="minorHAnsi" w:cstheme="minorHAnsi"/>
          <w:i/>
          <w:color w:val="C00000"/>
          <w:sz w:val="24"/>
          <w:szCs w:val="24"/>
          <w:lang w:eastAsia="en-GB"/>
        </w:rPr>
        <w:t xml:space="preserve"> assumptions, generally consistent with the 2008 study and based on the best information available. The 2008 study was informed by interviews with operators in and around the Port of Felixstowe, and the broad assumptions have been reviewed again as part of the consultation to inform this study. However, self-evidently, altering any of the assumptions themselves or changing the way they interact with each other has the potential to impact upon the forecasts and resulting land requirements.”</w:t>
      </w:r>
    </w:p>
    <w:p w14:paraId="2540FA11" w14:textId="714431FD" w:rsidR="00C16466" w:rsidRPr="00EC1A75" w:rsidRDefault="00C16466" w:rsidP="00E20D72">
      <w:pPr>
        <w:spacing w:after="0" w:line="240" w:lineRule="auto"/>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It is reasonable to suppose their client set the scene as to:</w:t>
      </w:r>
    </w:p>
    <w:p w14:paraId="721E7FA6" w14:textId="61CFD774" w:rsidR="00C16466" w:rsidRPr="00EC1A75" w:rsidRDefault="00C16466" w:rsidP="00EC1A75">
      <w:pPr>
        <w:pStyle w:val="ListParagraph"/>
        <w:numPr>
          <w:ilvl w:val="0"/>
          <w:numId w:val="8"/>
        </w:numPr>
        <w:spacing w:after="0" w:line="240" w:lineRule="auto"/>
        <w:ind w:left="1560" w:hanging="567"/>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the budget</w:t>
      </w:r>
      <w:r w:rsidR="00D438E8"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 xml:space="preserve">thereby constraining the extent to which 2008 analysis could be fully updated </w:t>
      </w:r>
      <w:r w:rsidR="00EC1A75" w:rsidRPr="00EC1A75">
        <w:rPr>
          <w:rFonts w:asciiTheme="minorHAnsi" w:eastAsia="Times New Roman" w:hAnsiTheme="minorHAnsi" w:cstheme="minorHAnsi"/>
          <w:sz w:val="24"/>
          <w:szCs w:val="24"/>
          <w:lang w:eastAsia="en-GB"/>
        </w:rPr>
        <w:t>and, thereby</w:t>
      </w:r>
    </w:p>
    <w:p w14:paraId="1713E730" w14:textId="3C171124" w:rsidR="00C16466" w:rsidRPr="00EC1A75" w:rsidRDefault="00C16466" w:rsidP="00EC1A75">
      <w:pPr>
        <w:pStyle w:val="ListParagraph"/>
        <w:numPr>
          <w:ilvl w:val="0"/>
          <w:numId w:val="8"/>
        </w:numPr>
        <w:spacing w:after="0" w:line="240" w:lineRule="auto"/>
        <w:ind w:left="1560" w:hanging="567"/>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a limit</w:t>
      </w:r>
      <w:r w:rsidR="00EC1A75" w:rsidRPr="00EC1A75">
        <w:rPr>
          <w:rFonts w:asciiTheme="minorHAnsi" w:eastAsia="Times New Roman" w:hAnsiTheme="minorHAnsi" w:cstheme="minorHAnsi"/>
          <w:sz w:val="24"/>
          <w:szCs w:val="24"/>
          <w:lang w:eastAsia="en-GB"/>
        </w:rPr>
        <w:t xml:space="preserve"> to</w:t>
      </w:r>
      <w:r w:rsidRPr="00EC1A75">
        <w:rPr>
          <w:rFonts w:asciiTheme="minorHAnsi" w:eastAsia="Times New Roman" w:hAnsiTheme="minorHAnsi" w:cstheme="minorHAnsi"/>
          <w:sz w:val="24"/>
          <w:szCs w:val="24"/>
          <w:lang w:eastAsia="en-GB"/>
        </w:rPr>
        <w:t xml:space="preserve"> the scope for sensitivity testing</w:t>
      </w:r>
    </w:p>
    <w:p w14:paraId="5689B238" w14:textId="77777777" w:rsidR="00D438E8" w:rsidRPr="00EC1A75" w:rsidRDefault="00C16466" w:rsidP="00EC1A75">
      <w:pPr>
        <w:numPr>
          <w:ilvl w:val="0"/>
          <w:numId w:val="8"/>
        </w:numPr>
        <w:spacing w:after="0" w:line="240" w:lineRule="auto"/>
        <w:ind w:left="1560" w:hanging="567"/>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sz w:val="24"/>
          <w:szCs w:val="24"/>
          <w:lang w:eastAsia="en-GB"/>
        </w:rPr>
        <w:t>It is also reasonable to conclude the client, having restricted the remit to east of the Orwell Bridge, would be content with the conclusions of the 2018 Study</w:t>
      </w:r>
      <w:r w:rsidR="00D438E8" w:rsidRPr="00EC1A75">
        <w:rPr>
          <w:rFonts w:asciiTheme="minorHAnsi" w:eastAsia="Times New Roman" w:hAnsiTheme="minorHAnsi" w:cstheme="minorHAnsi"/>
          <w:sz w:val="24"/>
          <w:szCs w:val="24"/>
          <w:lang w:eastAsia="en-GB"/>
        </w:rPr>
        <w:t>,</w:t>
      </w:r>
      <w:r w:rsidRPr="00EC1A75">
        <w:rPr>
          <w:rFonts w:asciiTheme="minorHAnsi" w:eastAsia="Times New Roman" w:hAnsiTheme="minorHAnsi" w:cstheme="minorHAnsi"/>
          <w:sz w:val="24"/>
          <w:szCs w:val="24"/>
          <w:lang w:eastAsia="en-GB"/>
        </w:rPr>
        <w:t xml:space="preserve"> in that it would serve as the evidence base for their objective to secure the status of “Employment </w:t>
      </w:r>
      <w:proofErr w:type="gramStart"/>
      <w:r w:rsidRPr="00EC1A75">
        <w:rPr>
          <w:rFonts w:asciiTheme="minorHAnsi" w:eastAsia="Times New Roman" w:hAnsiTheme="minorHAnsi" w:cstheme="minorHAnsi"/>
          <w:sz w:val="24"/>
          <w:szCs w:val="24"/>
          <w:lang w:eastAsia="en-GB"/>
        </w:rPr>
        <w:t>Allocation ”</w:t>
      </w:r>
      <w:proofErr w:type="gramEnd"/>
      <w:r w:rsidRPr="00EC1A75">
        <w:rPr>
          <w:rFonts w:asciiTheme="minorHAnsi" w:eastAsia="Times New Roman" w:hAnsiTheme="minorHAnsi" w:cstheme="minorHAnsi"/>
          <w:sz w:val="24"/>
          <w:szCs w:val="24"/>
          <w:lang w:eastAsia="en-GB"/>
        </w:rPr>
        <w:t xml:space="preserve"> for</w:t>
      </w:r>
      <w:r w:rsidR="00D438E8"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 xml:space="preserve">Innocence Farm.  </w:t>
      </w:r>
    </w:p>
    <w:p w14:paraId="0271DA25" w14:textId="77777777" w:rsidR="00D438E8" w:rsidRPr="00EC1A75" w:rsidRDefault="00D438E8" w:rsidP="00E20D72">
      <w:pPr>
        <w:spacing w:after="0" w:line="240" w:lineRule="auto"/>
        <w:ind w:left="709"/>
        <w:jc w:val="both"/>
        <w:rPr>
          <w:rFonts w:asciiTheme="minorHAnsi" w:eastAsia="Times New Roman" w:hAnsiTheme="minorHAnsi" w:cstheme="minorHAnsi"/>
          <w:b/>
          <w:sz w:val="24"/>
          <w:szCs w:val="24"/>
          <w:lang w:eastAsia="en-GB"/>
        </w:rPr>
      </w:pPr>
    </w:p>
    <w:p w14:paraId="1BC553B0" w14:textId="77777777" w:rsidR="00D438E8" w:rsidRPr="00EC1A75" w:rsidRDefault="00C16466" w:rsidP="00E20D72">
      <w:pPr>
        <w:numPr>
          <w:ilvl w:val="0"/>
          <w:numId w:val="9"/>
        </w:numPr>
        <w:spacing w:after="0" w:line="240" w:lineRule="auto"/>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 xml:space="preserve">Conclusion </w:t>
      </w:r>
    </w:p>
    <w:p w14:paraId="329A1509" w14:textId="77777777" w:rsidR="00D438E8" w:rsidRPr="00EC1A75" w:rsidRDefault="00D438E8" w:rsidP="00E20D72">
      <w:pPr>
        <w:spacing w:after="0" w:line="240" w:lineRule="auto"/>
        <w:ind w:left="720"/>
        <w:jc w:val="both"/>
        <w:rPr>
          <w:rFonts w:asciiTheme="minorHAnsi" w:eastAsia="Times New Roman" w:hAnsiTheme="minorHAnsi" w:cstheme="minorHAnsi"/>
          <w:sz w:val="24"/>
          <w:szCs w:val="24"/>
          <w:lang w:eastAsia="en-GB"/>
        </w:rPr>
      </w:pPr>
    </w:p>
    <w:p w14:paraId="780CDA62" w14:textId="337B2D71" w:rsidR="00C16466" w:rsidRPr="00EC1A75" w:rsidRDefault="00D438E8" w:rsidP="00E20D72">
      <w:pPr>
        <w:spacing w:after="0" w:line="240" w:lineRule="auto"/>
        <w:ind w:left="720"/>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A</w:t>
      </w:r>
      <w:r w:rsidR="00C16466" w:rsidRPr="00EC1A75">
        <w:rPr>
          <w:rFonts w:asciiTheme="minorHAnsi" w:eastAsia="Times New Roman" w:hAnsiTheme="minorHAnsi" w:cstheme="minorHAnsi"/>
          <w:sz w:val="24"/>
          <w:szCs w:val="24"/>
          <w:lang w:eastAsia="en-GB"/>
        </w:rPr>
        <w:t>lthough SCDC would seem to have attempted</w:t>
      </w:r>
      <w:r w:rsidRPr="00EC1A75">
        <w:rPr>
          <w:rFonts w:asciiTheme="minorHAnsi" w:eastAsia="Times New Roman" w:hAnsiTheme="minorHAnsi" w:cstheme="minorHAnsi"/>
          <w:sz w:val="24"/>
          <w:szCs w:val="24"/>
          <w:lang w:eastAsia="en-GB"/>
        </w:rPr>
        <w:t>,</w:t>
      </w:r>
      <w:r w:rsidR="00C16466" w:rsidRPr="00EC1A75">
        <w:rPr>
          <w:rFonts w:asciiTheme="minorHAnsi" w:eastAsia="Times New Roman" w:hAnsiTheme="minorHAnsi" w:cstheme="minorHAnsi"/>
          <w:sz w:val="24"/>
          <w:szCs w:val="24"/>
          <w:lang w:eastAsia="en-GB"/>
        </w:rPr>
        <w:t xml:space="preserve"> economically</w:t>
      </w:r>
      <w:r w:rsidRPr="00EC1A75">
        <w:rPr>
          <w:rFonts w:asciiTheme="minorHAnsi" w:eastAsia="Times New Roman" w:hAnsiTheme="minorHAnsi" w:cstheme="minorHAnsi"/>
          <w:sz w:val="24"/>
          <w:szCs w:val="24"/>
          <w:lang w:eastAsia="en-GB"/>
        </w:rPr>
        <w:t>,</w:t>
      </w:r>
      <w:r w:rsidR="00C16466" w:rsidRPr="00EC1A75">
        <w:rPr>
          <w:rFonts w:asciiTheme="minorHAnsi" w:eastAsia="Times New Roman" w:hAnsiTheme="minorHAnsi" w:cstheme="minorHAnsi"/>
          <w:sz w:val="24"/>
          <w:szCs w:val="24"/>
          <w:lang w:eastAsia="en-GB"/>
        </w:rPr>
        <w:t xml:space="preserve"> to secure a new Port Study</w:t>
      </w:r>
      <w:r w:rsidRPr="00EC1A75">
        <w:rPr>
          <w:rFonts w:asciiTheme="minorHAnsi" w:eastAsia="Times New Roman" w:hAnsiTheme="minorHAnsi" w:cstheme="minorHAnsi"/>
          <w:sz w:val="24"/>
          <w:szCs w:val="24"/>
          <w:lang w:eastAsia="en-GB"/>
        </w:rPr>
        <w:t>,</w:t>
      </w:r>
      <w:r w:rsidR="00C16466" w:rsidRPr="00EC1A75">
        <w:rPr>
          <w:rFonts w:asciiTheme="minorHAnsi" w:eastAsia="Times New Roman" w:hAnsiTheme="minorHAnsi" w:cstheme="minorHAnsi"/>
          <w:sz w:val="24"/>
          <w:szCs w:val="24"/>
          <w:lang w:eastAsia="en-GB"/>
        </w:rPr>
        <w:t xml:space="preserve"> as the evidence base for an Employment Allocation at Innocence Farm</w:t>
      </w:r>
      <w:r w:rsidRPr="00EC1A75">
        <w:rPr>
          <w:rFonts w:asciiTheme="minorHAnsi" w:eastAsia="Times New Roman" w:hAnsiTheme="minorHAnsi" w:cstheme="minorHAnsi"/>
          <w:sz w:val="24"/>
          <w:szCs w:val="24"/>
          <w:lang w:eastAsia="en-GB"/>
        </w:rPr>
        <w:t>, 1</w:t>
      </w:r>
      <w:r w:rsidR="00C16466" w:rsidRPr="00EC1A75">
        <w:rPr>
          <w:rFonts w:asciiTheme="minorHAnsi" w:eastAsia="Times New Roman" w:hAnsiTheme="minorHAnsi" w:cstheme="minorHAnsi"/>
          <w:sz w:val="24"/>
          <w:szCs w:val="24"/>
          <w:lang w:eastAsia="en-GB"/>
        </w:rPr>
        <w:t>03.8Ha.</w:t>
      </w:r>
      <w:r w:rsidRPr="00EC1A75">
        <w:rPr>
          <w:rFonts w:asciiTheme="minorHAnsi" w:eastAsia="Times New Roman" w:hAnsiTheme="minorHAnsi" w:cstheme="minorHAnsi"/>
          <w:sz w:val="24"/>
          <w:szCs w:val="24"/>
          <w:lang w:eastAsia="en-GB"/>
        </w:rPr>
        <w:t xml:space="preserve">, </w:t>
      </w:r>
      <w:r w:rsidR="00C16466" w:rsidRPr="00EC1A75">
        <w:rPr>
          <w:rFonts w:asciiTheme="minorHAnsi" w:eastAsia="Times New Roman" w:hAnsiTheme="minorHAnsi" w:cstheme="minorHAnsi"/>
          <w:sz w:val="24"/>
          <w:szCs w:val="24"/>
          <w:lang w:eastAsia="en-GB"/>
        </w:rPr>
        <w:t>recently reduced to 67Ha</w:t>
      </w:r>
      <w:r w:rsidRPr="00EC1A75">
        <w:rPr>
          <w:rFonts w:asciiTheme="minorHAnsi" w:eastAsia="Times New Roman" w:hAnsiTheme="minorHAnsi" w:cstheme="minorHAnsi"/>
          <w:sz w:val="24"/>
          <w:szCs w:val="24"/>
          <w:lang w:eastAsia="en-GB"/>
        </w:rPr>
        <w:t xml:space="preserve">, </w:t>
      </w:r>
      <w:r w:rsidR="00C16466" w:rsidRPr="00EC1A75">
        <w:rPr>
          <w:rFonts w:asciiTheme="minorHAnsi" w:eastAsia="Times New Roman" w:hAnsiTheme="minorHAnsi" w:cstheme="minorHAnsi"/>
          <w:sz w:val="24"/>
          <w:szCs w:val="24"/>
          <w:lang w:eastAsia="en-GB"/>
        </w:rPr>
        <w:t>they have been unsuccessful. The 2018 Study inherently acknowledges its huge limitations</w:t>
      </w:r>
      <w:r w:rsidRPr="00EC1A75">
        <w:rPr>
          <w:rFonts w:asciiTheme="minorHAnsi" w:eastAsia="Times New Roman" w:hAnsiTheme="minorHAnsi" w:cstheme="minorHAnsi"/>
          <w:sz w:val="24"/>
          <w:szCs w:val="24"/>
          <w:lang w:eastAsia="en-GB"/>
        </w:rPr>
        <w:t>,</w:t>
      </w:r>
      <w:r w:rsidR="00C16466" w:rsidRPr="00EC1A75">
        <w:rPr>
          <w:rFonts w:asciiTheme="minorHAnsi" w:eastAsia="Times New Roman" w:hAnsiTheme="minorHAnsi" w:cstheme="minorHAnsi"/>
          <w:sz w:val="24"/>
          <w:szCs w:val="24"/>
          <w:lang w:eastAsia="en-GB"/>
        </w:rPr>
        <w:t xml:space="preserve"> which effectively render it unfit to inform a decision of such magnitude. </w:t>
      </w:r>
    </w:p>
    <w:p w14:paraId="1454C0F5" w14:textId="77777777" w:rsidR="00D438E8" w:rsidRPr="00EC1A75" w:rsidRDefault="00D438E8" w:rsidP="00E20D72">
      <w:pPr>
        <w:spacing w:after="0" w:line="240" w:lineRule="auto"/>
        <w:ind w:left="709"/>
        <w:jc w:val="both"/>
        <w:rPr>
          <w:rFonts w:asciiTheme="minorHAnsi" w:eastAsia="Times New Roman" w:hAnsiTheme="minorHAnsi" w:cstheme="minorHAnsi"/>
          <w:sz w:val="24"/>
          <w:szCs w:val="24"/>
          <w:lang w:eastAsia="en-GB"/>
        </w:rPr>
      </w:pPr>
    </w:p>
    <w:p w14:paraId="2022C88E" w14:textId="57ED6B25" w:rsidR="00C16466" w:rsidRPr="00EC1A75" w:rsidRDefault="00C16466" w:rsidP="00E20D72">
      <w:pPr>
        <w:spacing w:after="0" w:line="240" w:lineRule="auto"/>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t>Furthermore, by revealing an existing pipeline of 67Ha.</w:t>
      </w:r>
      <w:r w:rsidR="00D438E8" w:rsidRPr="00EC1A75">
        <w:rPr>
          <w:rFonts w:asciiTheme="minorHAnsi" w:eastAsia="Times New Roman" w:hAnsiTheme="minorHAnsi" w:cstheme="minorHAnsi"/>
          <w:sz w:val="24"/>
          <w:szCs w:val="24"/>
          <w:lang w:eastAsia="en-GB"/>
        </w:rPr>
        <w:t xml:space="preserve">, </w:t>
      </w:r>
      <w:r w:rsidRPr="00EC1A75">
        <w:rPr>
          <w:rFonts w:asciiTheme="minorHAnsi" w:eastAsia="Times New Roman" w:hAnsiTheme="minorHAnsi" w:cstheme="minorHAnsi"/>
          <w:sz w:val="24"/>
          <w:szCs w:val="24"/>
          <w:lang w:eastAsia="en-GB"/>
        </w:rPr>
        <w:t xml:space="preserve">the 2018 Study effectively undermines SCDC’s case for the so-called “Central” requirement.  </w:t>
      </w:r>
    </w:p>
    <w:p w14:paraId="6042EE09" w14:textId="77777777" w:rsidR="00D438E8" w:rsidRPr="00EC1A75" w:rsidRDefault="00D438E8" w:rsidP="00E20D72">
      <w:pPr>
        <w:spacing w:after="0" w:line="240" w:lineRule="auto"/>
        <w:ind w:left="709"/>
        <w:jc w:val="both"/>
        <w:rPr>
          <w:rFonts w:asciiTheme="minorHAnsi" w:eastAsia="Times New Roman" w:hAnsiTheme="minorHAnsi" w:cstheme="minorHAnsi"/>
          <w:sz w:val="24"/>
          <w:szCs w:val="24"/>
          <w:lang w:eastAsia="en-GB"/>
        </w:rPr>
      </w:pPr>
    </w:p>
    <w:p w14:paraId="7174B93D" w14:textId="5D6E01AB" w:rsidR="00C16466" w:rsidRPr="00EC1A75" w:rsidRDefault="00C16466" w:rsidP="00E20D72">
      <w:pPr>
        <w:spacing w:after="0" w:line="240" w:lineRule="auto"/>
        <w:ind w:left="709"/>
        <w:jc w:val="both"/>
        <w:rPr>
          <w:rFonts w:asciiTheme="minorHAnsi" w:eastAsia="Times New Roman" w:hAnsiTheme="minorHAnsi" w:cstheme="minorHAnsi"/>
          <w:sz w:val="24"/>
          <w:szCs w:val="24"/>
          <w:lang w:eastAsia="en-GB"/>
        </w:rPr>
      </w:pPr>
      <w:r w:rsidRPr="00EC1A75">
        <w:rPr>
          <w:rFonts w:asciiTheme="minorHAnsi" w:eastAsia="Times New Roman" w:hAnsiTheme="minorHAnsi" w:cstheme="minorHAnsi"/>
          <w:sz w:val="24"/>
          <w:szCs w:val="24"/>
          <w:lang w:eastAsia="en-GB"/>
        </w:rPr>
        <w:lastRenderedPageBreak/>
        <w:t>Finally, the Port itself at a recent meeting of the LAAC sought to correct a common misperception:</w:t>
      </w:r>
    </w:p>
    <w:p w14:paraId="7E664062" w14:textId="77777777" w:rsidR="00F2788E" w:rsidRPr="00EC1A75" w:rsidRDefault="00C16466" w:rsidP="00E20D72">
      <w:pPr>
        <w:autoSpaceDE w:val="0"/>
        <w:autoSpaceDN w:val="0"/>
        <w:adjustRightInd w:val="0"/>
        <w:spacing w:after="0" w:line="240" w:lineRule="auto"/>
        <w:ind w:left="709"/>
        <w:jc w:val="both"/>
        <w:rPr>
          <w:rFonts w:asciiTheme="minorHAnsi" w:hAnsiTheme="minorHAnsi" w:cstheme="minorHAnsi"/>
          <w:b/>
          <w:i/>
          <w:sz w:val="24"/>
          <w:szCs w:val="24"/>
        </w:rPr>
      </w:pPr>
      <w:r w:rsidRPr="00EC1A75">
        <w:rPr>
          <w:rFonts w:asciiTheme="minorHAnsi" w:hAnsiTheme="minorHAnsi" w:cstheme="minorHAnsi"/>
          <w:i/>
          <w:color w:val="C00000"/>
          <w:sz w:val="24"/>
          <w:szCs w:val="24"/>
        </w:rPr>
        <w:t xml:space="preserve">“The term ‘Port related use’ as a planning category may lead to confusion regarding </w:t>
      </w:r>
      <w:r w:rsidR="00D438E8" w:rsidRPr="00EC1A75">
        <w:rPr>
          <w:rFonts w:asciiTheme="minorHAnsi" w:hAnsiTheme="minorHAnsi" w:cstheme="minorHAnsi"/>
          <w:i/>
          <w:color w:val="C00000"/>
          <w:sz w:val="24"/>
          <w:szCs w:val="24"/>
        </w:rPr>
        <w:t>P</w:t>
      </w:r>
      <w:r w:rsidRPr="00EC1A75">
        <w:rPr>
          <w:rFonts w:asciiTheme="minorHAnsi" w:hAnsiTheme="minorHAnsi" w:cstheme="minorHAnsi"/>
          <w:i/>
          <w:color w:val="C00000"/>
          <w:sz w:val="24"/>
          <w:szCs w:val="24"/>
        </w:rPr>
        <w:t>ort involvement.</w:t>
      </w:r>
      <w:r w:rsidR="00D438E8" w:rsidRPr="00EC1A75">
        <w:rPr>
          <w:rFonts w:asciiTheme="minorHAnsi" w:hAnsiTheme="minorHAnsi" w:cstheme="minorHAnsi"/>
          <w:i/>
          <w:color w:val="C00000"/>
          <w:sz w:val="24"/>
          <w:szCs w:val="24"/>
        </w:rPr>
        <w:t xml:space="preserve"> </w:t>
      </w:r>
      <w:r w:rsidRPr="00EC1A75">
        <w:rPr>
          <w:rFonts w:asciiTheme="minorHAnsi" w:hAnsiTheme="minorHAnsi" w:cstheme="minorHAnsi"/>
          <w:i/>
          <w:color w:val="C00000"/>
          <w:sz w:val="24"/>
          <w:szCs w:val="24"/>
        </w:rPr>
        <w:t>‘Trade related’ would be a better term to use as planning permission is not given for the</w:t>
      </w:r>
      <w:r w:rsidR="00D438E8" w:rsidRPr="00EC1A75">
        <w:rPr>
          <w:rFonts w:asciiTheme="minorHAnsi" w:hAnsiTheme="minorHAnsi" w:cstheme="minorHAnsi"/>
          <w:i/>
          <w:color w:val="C00000"/>
          <w:sz w:val="24"/>
          <w:szCs w:val="24"/>
        </w:rPr>
        <w:t xml:space="preserve"> P</w:t>
      </w:r>
      <w:r w:rsidRPr="00EC1A75">
        <w:rPr>
          <w:rFonts w:asciiTheme="minorHAnsi" w:hAnsiTheme="minorHAnsi" w:cstheme="minorHAnsi"/>
          <w:i/>
          <w:color w:val="C00000"/>
          <w:sz w:val="24"/>
          <w:szCs w:val="24"/>
        </w:rPr>
        <w:t>ort</w:t>
      </w:r>
      <w:r w:rsidR="00D438E8" w:rsidRPr="00EC1A75">
        <w:rPr>
          <w:rFonts w:asciiTheme="minorHAnsi" w:hAnsiTheme="minorHAnsi" w:cstheme="minorHAnsi"/>
          <w:i/>
          <w:color w:val="C00000"/>
          <w:sz w:val="24"/>
          <w:szCs w:val="24"/>
        </w:rPr>
        <w:t>,</w:t>
      </w:r>
      <w:r w:rsidRPr="00EC1A75">
        <w:rPr>
          <w:rFonts w:asciiTheme="minorHAnsi" w:hAnsiTheme="minorHAnsi" w:cstheme="minorHAnsi"/>
          <w:i/>
          <w:color w:val="C00000"/>
          <w:sz w:val="24"/>
          <w:szCs w:val="24"/>
        </w:rPr>
        <w:t xml:space="preserve"> but to support the UK’s international trade</w:t>
      </w:r>
      <w:r w:rsidR="00D438E8" w:rsidRPr="00EC1A75">
        <w:rPr>
          <w:rFonts w:asciiTheme="minorHAnsi" w:hAnsiTheme="minorHAnsi" w:cstheme="minorHAnsi"/>
          <w:i/>
          <w:color w:val="C00000"/>
          <w:sz w:val="24"/>
          <w:szCs w:val="24"/>
        </w:rPr>
        <w:t>. T</w:t>
      </w:r>
      <w:r w:rsidRPr="00EC1A75">
        <w:rPr>
          <w:rFonts w:asciiTheme="minorHAnsi" w:hAnsiTheme="minorHAnsi" w:cstheme="minorHAnsi"/>
          <w:i/>
          <w:color w:val="C00000"/>
          <w:sz w:val="24"/>
          <w:szCs w:val="24"/>
        </w:rPr>
        <w:t>he Port of Felixstowe is not the client.”</w:t>
      </w:r>
    </w:p>
    <w:p w14:paraId="0DF2CA09" w14:textId="77777777" w:rsidR="00F2788E" w:rsidRPr="00EC1A75" w:rsidRDefault="00F2788E" w:rsidP="00E20D72">
      <w:pPr>
        <w:autoSpaceDE w:val="0"/>
        <w:autoSpaceDN w:val="0"/>
        <w:adjustRightInd w:val="0"/>
        <w:spacing w:after="0" w:line="240" w:lineRule="auto"/>
        <w:ind w:left="709"/>
        <w:jc w:val="both"/>
        <w:rPr>
          <w:rFonts w:asciiTheme="minorHAnsi" w:hAnsiTheme="minorHAnsi" w:cstheme="minorHAnsi"/>
          <w:b/>
          <w:sz w:val="24"/>
          <w:szCs w:val="24"/>
        </w:rPr>
      </w:pPr>
    </w:p>
    <w:p w14:paraId="71D9E625" w14:textId="5974F558" w:rsidR="004F2A02" w:rsidRPr="00EC1A75" w:rsidRDefault="004F2A02" w:rsidP="00E20D72">
      <w:pPr>
        <w:numPr>
          <w:ilvl w:val="0"/>
          <w:numId w:val="9"/>
        </w:numPr>
        <w:autoSpaceDE w:val="0"/>
        <w:autoSpaceDN w:val="0"/>
        <w:adjustRightInd w:val="0"/>
        <w:spacing w:after="0" w:line="240" w:lineRule="auto"/>
        <w:jc w:val="both"/>
        <w:rPr>
          <w:rFonts w:asciiTheme="minorHAnsi" w:hAnsiTheme="minorHAnsi" w:cstheme="minorHAnsi"/>
          <w:b/>
          <w:sz w:val="24"/>
          <w:szCs w:val="24"/>
        </w:rPr>
      </w:pPr>
      <w:r w:rsidRPr="00EC1A75">
        <w:rPr>
          <w:rFonts w:asciiTheme="minorHAnsi" w:hAnsiTheme="minorHAnsi" w:cstheme="minorHAnsi"/>
          <w:b/>
          <w:sz w:val="24"/>
          <w:szCs w:val="24"/>
        </w:rPr>
        <w:t>A</w:t>
      </w:r>
      <w:r w:rsidR="00F2788E" w:rsidRPr="00EC1A75">
        <w:rPr>
          <w:rFonts w:asciiTheme="minorHAnsi" w:hAnsiTheme="minorHAnsi" w:cstheme="minorHAnsi"/>
          <w:b/>
          <w:sz w:val="24"/>
          <w:szCs w:val="24"/>
        </w:rPr>
        <w:t>DDENDUM:  POST SCRIPT</w:t>
      </w:r>
      <w:r w:rsidRPr="00EC1A75">
        <w:rPr>
          <w:rFonts w:asciiTheme="minorHAnsi" w:hAnsiTheme="minorHAnsi" w:cstheme="minorHAnsi"/>
          <w:b/>
          <w:sz w:val="24"/>
          <w:szCs w:val="24"/>
        </w:rPr>
        <w:t xml:space="preserve"> – Seismic </w:t>
      </w:r>
      <w:r w:rsidR="00397B90" w:rsidRPr="00EC1A75">
        <w:rPr>
          <w:rFonts w:asciiTheme="minorHAnsi" w:hAnsiTheme="minorHAnsi" w:cstheme="minorHAnsi"/>
          <w:b/>
          <w:sz w:val="24"/>
          <w:szCs w:val="24"/>
        </w:rPr>
        <w:t>Developments in World Maritime Trade</w:t>
      </w:r>
    </w:p>
    <w:p w14:paraId="4556FE68" w14:textId="77777777" w:rsidR="00D438E8" w:rsidRPr="00EC1A75" w:rsidRDefault="00D438E8" w:rsidP="00E20D72">
      <w:pPr>
        <w:spacing w:after="0" w:line="240" w:lineRule="auto"/>
        <w:ind w:left="709"/>
        <w:jc w:val="both"/>
        <w:rPr>
          <w:rFonts w:asciiTheme="minorHAnsi" w:hAnsiTheme="minorHAnsi" w:cstheme="minorHAnsi"/>
          <w:b/>
          <w:sz w:val="24"/>
          <w:szCs w:val="24"/>
        </w:rPr>
      </w:pPr>
    </w:p>
    <w:p w14:paraId="40EE3760" w14:textId="727B038E" w:rsidR="00397B90" w:rsidRPr="00EC1A75" w:rsidRDefault="00397B90" w:rsidP="00E20D72">
      <w:pPr>
        <w:spacing w:after="0" w:line="240" w:lineRule="auto"/>
        <w:ind w:left="709"/>
        <w:jc w:val="both"/>
        <w:rPr>
          <w:rFonts w:asciiTheme="minorHAnsi" w:hAnsiTheme="minorHAnsi" w:cstheme="minorHAnsi"/>
          <w:sz w:val="24"/>
          <w:szCs w:val="24"/>
        </w:rPr>
      </w:pPr>
      <w:r w:rsidRPr="00EC1A75">
        <w:rPr>
          <w:rFonts w:asciiTheme="minorHAnsi" w:hAnsiTheme="minorHAnsi" w:cstheme="minorHAnsi"/>
          <w:sz w:val="24"/>
          <w:szCs w:val="24"/>
        </w:rPr>
        <w:t>The Plan stretches to 2036</w:t>
      </w:r>
      <w:r w:rsidR="003724B3" w:rsidRPr="00EC1A75">
        <w:rPr>
          <w:rFonts w:asciiTheme="minorHAnsi" w:hAnsiTheme="minorHAnsi" w:cstheme="minorHAnsi"/>
          <w:sz w:val="24"/>
          <w:szCs w:val="24"/>
        </w:rPr>
        <w:t xml:space="preserve"> – a very long time-frame</w:t>
      </w:r>
      <w:r w:rsidRPr="00EC1A75">
        <w:rPr>
          <w:rFonts w:asciiTheme="minorHAnsi" w:hAnsiTheme="minorHAnsi" w:cstheme="minorHAnsi"/>
          <w:sz w:val="24"/>
          <w:szCs w:val="24"/>
        </w:rPr>
        <w:t>. In both the short</w:t>
      </w:r>
      <w:r w:rsidR="00D33CDB">
        <w:rPr>
          <w:rFonts w:asciiTheme="minorHAnsi" w:hAnsiTheme="minorHAnsi" w:cstheme="minorHAnsi"/>
          <w:sz w:val="24"/>
          <w:szCs w:val="24"/>
        </w:rPr>
        <w:t>-</w:t>
      </w:r>
      <w:r w:rsidRPr="00EC1A75">
        <w:rPr>
          <w:rFonts w:asciiTheme="minorHAnsi" w:hAnsiTheme="minorHAnsi" w:cstheme="minorHAnsi"/>
          <w:sz w:val="24"/>
          <w:szCs w:val="24"/>
        </w:rPr>
        <w:t>and</w:t>
      </w:r>
      <w:r w:rsidR="00D33CDB">
        <w:rPr>
          <w:rFonts w:asciiTheme="minorHAnsi" w:hAnsiTheme="minorHAnsi" w:cstheme="minorHAnsi"/>
          <w:sz w:val="24"/>
          <w:szCs w:val="24"/>
        </w:rPr>
        <w:t>-</w:t>
      </w:r>
      <w:r w:rsidRPr="00EC1A75">
        <w:rPr>
          <w:rFonts w:asciiTheme="minorHAnsi" w:hAnsiTheme="minorHAnsi" w:cstheme="minorHAnsi"/>
          <w:sz w:val="24"/>
          <w:szCs w:val="24"/>
        </w:rPr>
        <w:t>medium term major dislocations are likely to affect the global shipping market</w:t>
      </w:r>
      <w:r w:rsidR="003724B3" w:rsidRPr="00EC1A75">
        <w:rPr>
          <w:rFonts w:asciiTheme="minorHAnsi" w:hAnsiTheme="minorHAnsi" w:cstheme="minorHAnsi"/>
          <w:sz w:val="24"/>
          <w:szCs w:val="24"/>
        </w:rPr>
        <w:t xml:space="preserve"> not least the Port of Felixstowe</w:t>
      </w:r>
      <w:r w:rsidRPr="00EC1A75">
        <w:rPr>
          <w:rFonts w:asciiTheme="minorHAnsi" w:hAnsiTheme="minorHAnsi" w:cstheme="minorHAnsi"/>
          <w:sz w:val="24"/>
          <w:szCs w:val="24"/>
        </w:rPr>
        <w:t>.</w:t>
      </w:r>
    </w:p>
    <w:p w14:paraId="5C10CC0D" w14:textId="77777777" w:rsidR="00D438E8" w:rsidRPr="00EC1A75" w:rsidRDefault="00D438E8" w:rsidP="00E20D72">
      <w:pPr>
        <w:spacing w:after="0" w:line="240" w:lineRule="auto"/>
        <w:ind w:left="709"/>
        <w:jc w:val="both"/>
        <w:rPr>
          <w:rFonts w:asciiTheme="minorHAnsi" w:hAnsiTheme="minorHAnsi" w:cstheme="minorHAnsi"/>
          <w:b/>
          <w:sz w:val="24"/>
          <w:szCs w:val="24"/>
        </w:rPr>
      </w:pPr>
    </w:p>
    <w:p w14:paraId="63B9C4CB" w14:textId="6E1705E1" w:rsidR="00397B90" w:rsidRPr="00EC1A75" w:rsidRDefault="00397B90" w:rsidP="00E20D72">
      <w:pPr>
        <w:spacing w:after="0" w:line="240" w:lineRule="auto"/>
        <w:ind w:left="709"/>
        <w:jc w:val="both"/>
        <w:rPr>
          <w:rFonts w:asciiTheme="minorHAnsi" w:hAnsiTheme="minorHAnsi" w:cstheme="minorHAnsi"/>
          <w:sz w:val="24"/>
          <w:szCs w:val="24"/>
        </w:rPr>
      </w:pPr>
      <w:r w:rsidRPr="00EC1A75">
        <w:rPr>
          <w:rFonts w:asciiTheme="minorHAnsi" w:hAnsiTheme="minorHAnsi" w:cstheme="minorHAnsi"/>
          <w:b/>
          <w:sz w:val="24"/>
          <w:szCs w:val="24"/>
        </w:rPr>
        <w:t>Firstly, China’s Belt and Road Initiative</w:t>
      </w:r>
      <w:r w:rsidRPr="00EC1A75">
        <w:rPr>
          <w:rFonts w:asciiTheme="minorHAnsi" w:hAnsiTheme="minorHAnsi" w:cstheme="minorHAnsi"/>
          <w:sz w:val="24"/>
          <w:szCs w:val="24"/>
        </w:rPr>
        <w:t xml:space="preserve"> is already under way and likely to cause serious disruption to existing patterns of trade</w:t>
      </w:r>
      <w:r w:rsidRPr="00D33CDB">
        <w:rPr>
          <w:rFonts w:asciiTheme="minorHAnsi" w:hAnsiTheme="minorHAnsi" w:cstheme="minorHAnsi"/>
          <w:color w:val="C00000"/>
          <w:sz w:val="24"/>
          <w:szCs w:val="24"/>
        </w:rPr>
        <w:t xml:space="preserve">: </w:t>
      </w:r>
      <w:r w:rsidRPr="00D33CDB">
        <w:rPr>
          <w:rFonts w:asciiTheme="minorHAnsi" w:hAnsiTheme="minorHAnsi" w:cstheme="minorHAnsi"/>
          <w:i/>
          <w:color w:val="C00000"/>
          <w:sz w:val="24"/>
          <w:szCs w:val="24"/>
        </w:rPr>
        <w:t>“The China Railway Express (Chengdu), a direct freight line,</w:t>
      </w:r>
      <w:r w:rsidR="00946DB0" w:rsidRPr="00D33CDB">
        <w:rPr>
          <w:rFonts w:asciiTheme="minorHAnsi" w:hAnsiTheme="minorHAnsi" w:cstheme="minorHAnsi"/>
          <w:i/>
          <w:color w:val="C00000"/>
          <w:sz w:val="24"/>
          <w:szCs w:val="24"/>
        </w:rPr>
        <w:t xml:space="preserve"> </w:t>
      </w:r>
      <w:r w:rsidRPr="00D33CDB">
        <w:rPr>
          <w:rFonts w:asciiTheme="minorHAnsi" w:hAnsiTheme="minorHAnsi" w:cstheme="minorHAnsi"/>
          <w:i/>
          <w:color w:val="C00000"/>
          <w:sz w:val="24"/>
          <w:szCs w:val="24"/>
        </w:rPr>
        <w:t>takes only 12 days to transport goods from Chengdu to Eur</w:t>
      </w:r>
      <w:r w:rsidR="00946DB0" w:rsidRPr="00D33CDB">
        <w:rPr>
          <w:rFonts w:asciiTheme="minorHAnsi" w:hAnsiTheme="minorHAnsi" w:cstheme="minorHAnsi"/>
          <w:i/>
          <w:color w:val="C00000"/>
          <w:sz w:val="24"/>
          <w:szCs w:val="24"/>
        </w:rPr>
        <w:t>ope</w:t>
      </w:r>
      <w:r w:rsidRPr="00D33CDB">
        <w:rPr>
          <w:rFonts w:asciiTheme="minorHAnsi" w:hAnsiTheme="minorHAnsi" w:cstheme="minorHAnsi"/>
          <w:i/>
          <w:color w:val="C00000"/>
          <w:sz w:val="24"/>
          <w:szCs w:val="24"/>
        </w:rPr>
        <w:t>, which can be two-thirds quicker than traditional shipping. The rail costs are rough</w:t>
      </w:r>
      <w:r w:rsidR="00946DB0" w:rsidRPr="00D33CDB">
        <w:rPr>
          <w:rFonts w:asciiTheme="minorHAnsi" w:hAnsiTheme="minorHAnsi" w:cstheme="minorHAnsi"/>
          <w:i/>
          <w:color w:val="C00000"/>
          <w:sz w:val="24"/>
          <w:szCs w:val="24"/>
        </w:rPr>
        <w:t>ly</w:t>
      </w:r>
      <w:r w:rsidRPr="00D33CDB">
        <w:rPr>
          <w:rFonts w:asciiTheme="minorHAnsi" w:hAnsiTheme="minorHAnsi" w:cstheme="minorHAnsi"/>
          <w:i/>
          <w:color w:val="C00000"/>
          <w:sz w:val="24"/>
          <w:szCs w:val="24"/>
        </w:rPr>
        <w:t xml:space="preserve"> the same as maritime ones and about half those of air freight.”</w:t>
      </w:r>
      <w:r w:rsidRPr="00D33CDB">
        <w:rPr>
          <w:rFonts w:asciiTheme="minorHAnsi" w:hAnsiTheme="minorHAnsi" w:cstheme="minorHAnsi"/>
          <w:color w:val="C00000"/>
          <w:sz w:val="24"/>
          <w:szCs w:val="24"/>
        </w:rPr>
        <w:t xml:space="preserve">  </w:t>
      </w:r>
    </w:p>
    <w:p w14:paraId="323F07A1" w14:textId="72B03A4D" w:rsidR="00946DB0" w:rsidRPr="00EC1A75" w:rsidRDefault="00946DB0" w:rsidP="00E20D72">
      <w:pPr>
        <w:tabs>
          <w:tab w:val="left" w:pos="1701"/>
        </w:tabs>
        <w:spacing w:after="0" w:line="240" w:lineRule="auto"/>
        <w:ind w:left="709"/>
        <w:jc w:val="both"/>
        <w:rPr>
          <w:rFonts w:asciiTheme="minorHAnsi" w:hAnsiTheme="minorHAnsi" w:cstheme="minorHAnsi"/>
          <w:sz w:val="24"/>
          <w:szCs w:val="24"/>
        </w:rPr>
      </w:pPr>
      <w:r w:rsidRPr="00EC1A75">
        <w:rPr>
          <w:rFonts w:asciiTheme="minorHAnsi" w:hAnsiTheme="minorHAnsi" w:cstheme="minorHAnsi"/>
          <w:sz w:val="24"/>
          <w:szCs w:val="24"/>
        </w:rPr>
        <w:t>Source</w:t>
      </w:r>
      <w:r w:rsidR="00F2788E" w:rsidRPr="00EC1A75">
        <w:rPr>
          <w:rFonts w:asciiTheme="minorHAnsi" w:hAnsiTheme="minorHAnsi" w:cstheme="minorHAnsi"/>
          <w:sz w:val="24"/>
          <w:szCs w:val="24"/>
        </w:rPr>
        <w:tab/>
      </w:r>
      <w:hyperlink r:id="rId14" w:history="1">
        <w:r w:rsidR="00F2788E" w:rsidRPr="00EC1A75">
          <w:rPr>
            <w:rStyle w:val="Hyperlink"/>
            <w:rFonts w:asciiTheme="minorHAnsi" w:hAnsiTheme="minorHAnsi" w:cstheme="minorHAnsi"/>
            <w:sz w:val="24"/>
            <w:szCs w:val="24"/>
          </w:rPr>
          <w:t>https://www.telegraph.co.uk/news/world/china-watch/business/chengdu-infrastructure-development/</w:t>
        </w:r>
      </w:hyperlink>
    </w:p>
    <w:p w14:paraId="747172AD" w14:textId="77777777" w:rsidR="00F2788E" w:rsidRPr="00EC1A75" w:rsidRDefault="00F2788E" w:rsidP="00E20D72">
      <w:pPr>
        <w:spacing w:after="0" w:line="240" w:lineRule="auto"/>
        <w:ind w:left="709"/>
        <w:jc w:val="both"/>
        <w:rPr>
          <w:rFonts w:asciiTheme="minorHAnsi" w:hAnsiTheme="minorHAnsi" w:cstheme="minorHAnsi"/>
          <w:b/>
          <w:sz w:val="24"/>
          <w:szCs w:val="24"/>
        </w:rPr>
      </w:pPr>
    </w:p>
    <w:p w14:paraId="2DC745FD" w14:textId="63F977AF" w:rsidR="00982CFA" w:rsidRPr="00EC1A75" w:rsidRDefault="00946DB0" w:rsidP="00E20D72">
      <w:pPr>
        <w:spacing w:after="0" w:line="240" w:lineRule="auto"/>
        <w:ind w:left="709"/>
        <w:jc w:val="both"/>
        <w:rPr>
          <w:rFonts w:asciiTheme="minorHAnsi" w:hAnsiTheme="minorHAnsi" w:cstheme="minorHAnsi"/>
          <w:color w:val="C00000"/>
          <w:sz w:val="24"/>
          <w:szCs w:val="24"/>
        </w:rPr>
      </w:pPr>
      <w:r w:rsidRPr="00EC1A75">
        <w:rPr>
          <w:rFonts w:asciiTheme="minorHAnsi" w:hAnsiTheme="minorHAnsi" w:cstheme="minorHAnsi"/>
          <w:b/>
          <w:sz w:val="24"/>
          <w:szCs w:val="24"/>
        </w:rPr>
        <w:t>And then, the Northern Sea Route (NSR)</w:t>
      </w:r>
      <w:r w:rsidRPr="00EC1A75">
        <w:rPr>
          <w:rFonts w:asciiTheme="minorHAnsi" w:hAnsiTheme="minorHAnsi" w:cstheme="minorHAnsi"/>
          <w:sz w:val="24"/>
          <w:szCs w:val="24"/>
        </w:rPr>
        <w:t xml:space="preserve"> has already seen the first transit of a container ship – the Venta Maersk. </w:t>
      </w:r>
      <w:r w:rsidRPr="00EC1A75">
        <w:rPr>
          <w:rFonts w:asciiTheme="minorHAnsi" w:hAnsiTheme="minorHAnsi" w:cstheme="minorHAnsi"/>
          <w:i/>
          <w:color w:val="C00000"/>
          <w:sz w:val="24"/>
          <w:szCs w:val="24"/>
        </w:rPr>
        <w:t>“It is therefore reasonable to expect that the next half century will see a gradual growth in shipping traffic in the NSR, the North West Passage and subsequently the Trans-Polar Route.”</w:t>
      </w:r>
    </w:p>
    <w:p w14:paraId="70529F11" w14:textId="7DD84413" w:rsidR="00982CFA" w:rsidRPr="00EC1A75" w:rsidRDefault="00982CFA" w:rsidP="00E20D72">
      <w:pPr>
        <w:tabs>
          <w:tab w:val="left" w:pos="1701"/>
        </w:tabs>
        <w:spacing w:after="0" w:line="240" w:lineRule="auto"/>
        <w:ind w:left="709"/>
        <w:jc w:val="both"/>
        <w:rPr>
          <w:rFonts w:asciiTheme="minorHAnsi" w:hAnsiTheme="minorHAnsi" w:cstheme="minorHAnsi"/>
          <w:sz w:val="24"/>
          <w:szCs w:val="24"/>
        </w:rPr>
      </w:pPr>
      <w:r w:rsidRPr="00EC1A75">
        <w:rPr>
          <w:rFonts w:asciiTheme="minorHAnsi" w:hAnsiTheme="minorHAnsi" w:cstheme="minorHAnsi"/>
          <w:sz w:val="24"/>
          <w:szCs w:val="24"/>
        </w:rPr>
        <w:t>Source:</w:t>
      </w:r>
      <w:r w:rsidR="00F2788E" w:rsidRPr="00EC1A75">
        <w:rPr>
          <w:rFonts w:asciiTheme="minorHAnsi" w:hAnsiTheme="minorHAnsi" w:cstheme="minorHAnsi"/>
          <w:sz w:val="24"/>
          <w:szCs w:val="24"/>
        </w:rPr>
        <w:tab/>
      </w:r>
      <w:r w:rsidRPr="00EC1A75">
        <w:rPr>
          <w:rFonts w:asciiTheme="minorHAnsi" w:hAnsiTheme="minorHAnsi" w:cstheme="minorHAnsi"/>
          <w:sz w:val="24"/>
          <w:szCs w:val="24"/>
        </w:rPr>
        <w:t xml:space="preserve"> </w:t>
      </w:r>
      <w:hyperlink r:id="rId15" w:history="1">
        <w:r w:rsidRPr="00EC1A75">
          <w:rPr>
            <w:rStyle w:val="Hyperlink"/>
            <w:rFonts w:asciiTheme="minorHAnsi" w:hAnsiTheme="minorHAnsi" w:cstheme="minorHAnsi"/>
            <w:sz w:val="24"/>
            <w:szCs w:val="24"/>
          </w:rPr>
          <w:t>https://issuu.com/nautilustelegraph/docs/telegraph_february_2019</w:t>
        </w:r>
      </w:hyperlink>
    </w:p>
    <w:p w14:paraId="02BAD258" w14:textId="77777777" w:rsidR="00F2788E" w:rsidRPr="00EC1A75" w:rsidRDefault="00F2788E" w:rsidP="00E20D72">
      <w:pPr>
        <w:spacing w:after="0" w:line="240" w:lineRule="auto"/>
        <w:ind w:left="709"/>
        <w:jc w:val="both"/>
        <w:rPr>
          <w:rFonts w:asciiTheme="minorHAnsi" w:hAnsiTheme="minorHAnsi" w:cstheme="minorHAnsi"/>
          <w:b/>
          <w:sz w:val="24"/>
          <w:szCs w:val="24"/>
        </w:rPr>
      </w:pPr>
    </w:p>
    <w:p w14:paraId="1EAEB7C5" w14:textId="6DB98F49" w:rsidR="00C16466" w:rsidRPr="00EC1A75" w:rsidRDefault="006C0442" w:rsidP="00E20D72">
      <w:pPr>
        <w:spacing w:after="0" w:line="240" w:lineRule="auto"/>
        <w:ind w:left="709"/>
        <w:jc w:val="both"/>
        <w:rPr>
          <w:rFonts w:asciiTheme="minorHAnsi" w:hAnsiTheme="minorHAnsi" w:cstheme="minorHAnsi"/>
          <w:sz w:val="24"/>
          <w:szCs w:val="24"/>
        </w:rPr>
      </w:pPr>
      <w:r w:rsidRPr="00EC1A75">
        <w:rPr>
          <w:rFonts w:asciiTheme="minorHAnsi" w:hAnsiTheme="minorHAnsi" w:cstheme="minorHAnsi"/>
          <w:b/>
          <w:sz w:val="24"/>
          <w:szCs w:val="24"/>
        </w:rPr>
        <w:t>By Way of Comparison</w:t>
      </w:r>
      <w:r w:rsidRPr="00EC1A75">
        <w:rPr>
          <w:rFonts w:asciiTheme="minorHAnsi" w:hAnsiTheme="minorHAnsi" w:cstheme="minorHAnsi"/>
          <w:sz w:val="24"/>
          <w:szCs w:val="24"/>
        </w:rPr>
        <w:t xml:space="preserve"> – page 88 of the 2018 Port Study </w:t>
      </w:r>
      <w:r w:rsidR="00F35743" w:rsidRPr="00EC1A75">
        <w:rPr>
          <w:rFonts w:asciiTheme="minorHAnsi" w:hAnsiTheme="minorHAnsi" w:cstheme="minorHAnsi"/>
          <w:sz w:val="24"/>
          <w:szCs w:val="24"/>
        </w:rPr>
        <w:t xml:space="preserve">graphically </w:t>
      </w:r>
      <w:r w:rsidRPr="00EC1A75">
        <w:rPr>
          <w:rFonts w:asciiTheme="minorHAnsi" w:hAnsiTheme="minorHAnsi" w:cstheme="minorHAnsi"/>
          <w:sz w:val="24"/>
          <w:szCs w:val="24"/>
        </w:rPr>
        <w:t>depicts the largest container ships in 2000 as having had a capacity of 6</w:t>
      </w:r>
      <w:r w:rsidR="00984E41" w:rsidRPr="00EC1A75">
        <w:rPr>
          <w:rFonts w:asciiTheme="minorHAnsi" w:hAnsiTheme="minorHAnsi" w:cstheme="minorHAnsi"/>
          <w:sz w:val="24"/>
          <w:szCs w:val="24"/>
        </w:rPr>
        <w:t>,000</w:t>
      </w:r>
      <w:r w:rsidRPr="00EC1A75">
        <w:rPr>
          <w:rFonts w:asciiTheme="minorHAnsi" w:hAnsiTheme="minorHAnsi" w:cstheme="minorHAnsi"/>
          <w:sz w:val="24"/>
          <w:szCs w:val="24"/>
        </w:rPr>
        <w:t>-800</w:t>
      </w:r>
      <w:r w:rsidR="00984E41" w:rsidRPr="00EC1A75">
        <w:rPr>
          <w:rFonts w:asciiTheme="minorHAnsi" w:hAnsiTheme="minorHAnsi" w:cstheme="minorHAnsi"/>
          <w:sz w:val="24"/>
          <w:szCs w:val="24"/>
        </w:rPr>
        <w:t xml:space="preserve">0 </w:t>
      </w:r>
      <w:r w:rsidRPr="00EC1A75">
        <w:rPr>
          <w:rFonts w:asciiTheme="minorHAnsi" w:hAnsiTheme="minorHAnsi" w:cstheme="minorHAnsi"/>
          <w:sz w:val="24"/>
          <w:szCs w:val="24"/>
        </w:rPr>
        <w:t>TEUs</w:t>
      </w:r>
      <w:r w:rsidR="00984E41" w:rsidRPr="00EC1A75">
        <w:rPr>
          <w:rFonts w:asciiTheme="minorHAnsi" w:hAnsiTheme="minorHAnsi" w:cstheme="minorHAnsi"/>
          <w:sz w:val="24"/>
          <w:szCs w:val="24"/>
        </w:rPr>
        <w:t>. By 2018</w:t>
      </w:r>
      <w:r w:rsidR="00F35743" w:rsidRPr="00EC1A75">
        <w:rPr>
          <w:rFonts w:asciiTheme="minorHAnsi" w:hAnsiTheme="minorHAnsi" w:cstheme="minorHAnsi"/>
          <w:sz w:val="24"/>
          <w:szCs w:val="24"/>
        </w:rPr>
        <w:t>, it says,</w:t>
      </w:r>
      <w:r w:rsidR="00984E41" w:rsidRPr="00EC1A75">
        <w:rPr>
          <w:rFonts w:asciiTheme="minorHAnsi" w:hAnsiTheme="minorHAnsi" w:cstheme="minorHAnsi"/>
          <w:sz w:val="24"/>
          <w:szCs w:val="24"/>
        </w:rPr>
        <w:t xml:space="preserve"> the largest ships had a capacity of 22,000 TEUs.</w:t>
      </w:r>
    </w:p>
    <w:p w14:paraId="2FCCB308" w14:textId="77777777" w:rsidR="00C16466" w:rsidRPr="00EC1A75" w:rsidRDefault="00C16466" w:rsidP="00E20D72">
      <w:pPr>
        <w:spacing w:after="0" w:line="240" w:lineRule="auto"/>
        <w:ind w:left="709"/>
        <w:jc w:val="both"/>
        <w:rPr>
          <w:rFonts w:asciiTheme="minorHAnsi" w:eastAsia="Times New Roman" w:hAnsiTheme="minorHAnsi" w:cstheme="minorHAnsi"/>
          <w:sz w:val="24"/>
          <w:szCs w:val="24"/>
          <w:lang w:eastAsia="en-GB"/>
        </w:rPr>
      </w:pPr>
    </w:p>
    <w:p w14:paraId="5AFD0D6A" w14:textId="77777777" w:rsidR="00C16466" w:rsidRPr="00EC1A75" w:rsidRDefault="00C16466" w:rsidP="00E20D72">
      <w:pPr>
        <w:spacing w:after="0"/>
        <w:ind w:left="709"/>
        <w:jc w:val="both"/>
        <w:rPr>
          <w:rFonts w:asciiTheme="minorHAnsi" w:eastAsia="Times New Roman" w:hAnsiTheme="minorHAnsi" w:cstheme="minorHAnsi"/>
          <w:b/>
          <w:sz w:val="24"/>
          <w:szCs w:val="24"/>
          <w:lang w:eastAsia="en-GB"/>
        </w:rPr>
      </w:pPr>
      <w:r w:rsidRPr="00EC1A75">
        <w:rPr>
          <w:rFonts w:asciiTheme="minorHAnsi" w:eastAsia="Times New Roman" w:hAnsiTheme="minorHAnsi" w:cstheme="minorHAnsi"/>
          <w:b/>
          <w:sz w:val="24"/>
          <w:szCs w:val="24"/>
          <w:lang w:eastAsia="en-GB"/>
        </w:rPr>
        <w:t>Sources:</w:t>
      </w:r>
    </w:p>
    <w:p w14:paraId="38F872FD" w14:textId="77777777" w:rsidR="00C16466" w:rsidRPr="00EC1A75" w:rsidRDefault="00C16466" w:rsidP="00EC1A75">
      <w:pPr>
        <w:spacing w:after="0"/>
        <w:ind w:left="709"/>
        <w:rPr>
          <w:rFonts w:asciiTheme="minorHAnsi" w:eastAsia="Times New Roman" w:hAnsiTheme="minorHAnsi" w:cstheme="minorHAnsi"/>
          <w:sz w:val="24"/>
          <w:szCs w:val="24"/>
          <w:lang w:eastAsia="en-GB"/>
        </w:rPr>
      </w:pPr>
      <w:r w:rsidRPr="00EC1A75">
        <w:rPr>
          <w:rFonts w:asciiTheme="minorHAnsi" w:eastAsia="Times New Roman" w:hAnsiTheme="minorHAnsi" w:cstheme="minorHAnsi"/>
          <w:b/>
          <w:sz w:val="24"/>
          <w:szCs w:val="24"/>
          <w:lang w:eastAsia="en-GB"/>
        </w:rPr>
        <w:t>The 2018 Port Study</w:t>
      </w:r>
      <w:r w:rsidRPr="00EC1A75">
        <w:rPr>
          <w:rFonts w:asciiTheme="minorHAnsi" w:eastAsia="Times New Roman" w:hAnsiTheme="minorHAnsi" w:cstheme="minorHAnsi"/>
          <w:sz w:val="24"/>
          <w:szCs w:val="24"/>
          <w:lang w:eastAsia="en-GB"/>
        </w:rPr>
        <w:t xml:space="preserve">: </w:t>
      </w:r>
      <w:hyperlink r:id="rId16" w:history="1">
        <w:r w:rsidRPr="00EC1A75">
          <w:rPr>
            <w:rStyle w:val="Hyperlink"/>
            <w:rFonts w:asciiTheme="minorHAnsi" w:eastAsia="Times New Roman" w:hAnsiTheme="minorHAnsi" w:cstheme="minorHAnsi"/>
            <w:sz w:val="24"/>
            <w:szCs w:val="24"/>
            <w:lang w:eastAsia="en-GB"/>
          </w:rPr>
          <w:t>https://www.eastsuffolk.gov.uk/assets/Planning/Suffolk-Coastal-Local-Plan/First-Draft-Local-Plan/Port-of-Felixstowe-Growth-and-Development-Needs-Study-July-2018.pdf</w:t>
        </w:r>
      </w:hyperlink>
    </w:p>
    <w:p w14:paraId="2E601D0B" w14:textId="77777777" w:rsidR="00C16466" w:rsidRPr="00EC1A75" w:rsidRDefault="00C16466" w:rsidP="00EC1A75">
      <w:pPr>
        <w:spacing w:after="0"/>
        <w:ind w:left="709"/>
        <w:rPr>
          <w:rFonts w:asciiTheme="minorHAnsi" w:eastAsia="Times New Roman" w:hAnsiTheme="minorHAnsi" w:cstheme="minorHAnsi"/>
          <w:sz w:val="24"/>
          <w:szCs w:val="24"/>
          <w:lang w:eastAsia="en-GB"/>
        </w:rPr>
      </w:pPr>
      <w:r w:rsidRPr="00EC1A75">
        <w:rPr>
          <w:rFonts w:asciiTheme="minorHAnsi" w:eastAsia="Times New Roman" w:hAnsiTheme="minorHAnsi" w:cstheme="minorHAnsi"/>
          <w:b/>
          <w:sz w:val="24"/>
          <w:szCs w:val="24"/>
          <w:lang w:eastAsia="en-GB"/>
        </w:rPr>
        <w:t>The 2008 Port Study</w:t>
      </w:r>
      <w:r w:rsidRPr="00EC1A75">
        <w:rPr>
          <w:rFonts w:asciiTheme="minorHAnsi" w:eastAsia="Times New Roman" w:hAnsiTheme="minorHAnsi" w:cstheme="minorHAnsi"/>
          <w:sz w:val="24"/>
          <w:szCs w:val="24"/>
          <w:lang w:eastAsia="en-GB"/>
        </w:rPr>
        <w:t xml:space="preserve">: </w:t>
      </w:r>
      <w:hyperlink r:id="rId17" w:history="1">
        <w:r w:rsidRPr="00EC1A75">
          <w:rPr>
            <w:rStyle w:val="Hyperlink"/>
            <w:rFonts w:asciiTheme="minorHAnsi" w:eastAsia="Times New Roman" w:hAnsiTheme="minorHAnsi" w:cstheme="minorHAnsi"/>
            <w:sz w:val="24"/>
            <w:szCs w:val="24"/>
            <w:lang w:eastAsia="en-GB"/>
          </w:rPr>
          <w:t>https://www.eastsuffolk.gov.uk/assets/Planning/Suffolk-Coastal-Local-Plan/Document-Library/Infrastructure/FPLSFinalReport2008.pdf</w:t>
        </w:r>
      </w:hyperlink>
    </w:p>
    <w:p w14:paraId="3846ED43" w14:textId="77777777" w:rsidR="00C16466" w:rsidRPr="00EC1A75" w:rsidRDefault="00C16466" w:rsidP="00EC1A75">
      <w:pPr>
        <w:spacing w:after="0"/>
        <w:ind w:left="709"/>
        <w:rPr>
          <w:rFonts w:asciiTheme="minorHAnsi" w:hAnsiTheme="minorHAnsi" w:cstheme="minorHAnsi"/>
          <w:sz w:val="24"/>
          <w:szCs w:val="24"/>
        </w:rPr>
      </w:pPr>
      <w:r w:rsidRPr="00EC1A75">
        <w:rPr>
          <w:rFonts w:asciiTheme="minorHAnsi" w:eastAsia="Times New Roman" w:hAnsiTheme="minorHAnsi" w:cstheme="minorHAnsi"/>
          <w:b/>
          <w:sz w:val="24"/>
          <w:szCs w:val="24"/>
          <w:lang w:eastAsia="en-GB"/>
        </w:rPr>
        <w:t>The 2008 Port Study: Glossary; List of Interviews; Stakeholder Workshop; Container Capacity &amp; Modal Splits;</w:t>
      </w:r>
      <w:r w:rsidRPr="00EC1A75">
        <w:rPr>
          <w:rFonts w:asciiTheme="minorHAnsi" w:hAnsiTheme="minorHAnsi" w:cstheme="minorHAnsi"/>
          <w:b/>
          <w:sz w:val="24"/>
          <w:szCs w:val="24"/>
        </w:rPr>
        <w:t xml:space="preserve"> Calculation of Ancillary Services; Defining the Port Centric Zone; Capacity of the Port Centric Zone; Sensitivity Analysis; Significance of the Orwell Bridge:</w:t>
      </w:r>
      <w:r w:rsidRPr="00EC1A75">
        <w:rPr>
          <w:rFonts w:asciiTheme="minorHAnsi" w:hAnsiTheme="minorHAnsi" w:cstheme="minorHAnsi"/>
          <w:sz w:val="24"/>
          <w:szCs w:val="24"/>
        </w:rPr>
        <w:t xml:space="preserve"> </w:t>
      </w:r>
      <w:hyperlink r:id="rId18" w:history="1">
        <w:r w:rsidRPr="00EC1A75">
          <w:rPr>
            <w:rStyle w:val="Hyperlink"/>
            <w:rFonts w:asciiTheme="minorHAnsi" w:hAnsiTheme="minorHAnsi" w:cstheme="minorHAnsi"/>
            <w:sz w:val="24"/>
            <w:szCs w:val="24"/>
          </w:rPr>
          <w:t>https://www.babergh.gov.uk/assets/Strategic-Planning/Babergh-Core-Strategy/CoreStrategyCoreDocList/FelixPortLogStudy2008App.pdf</w:t>
        </w:r>
      </w:hyperlink>
    </w:p>
    <w:p w14:paraId="1408FB02" w14:textId="77777777" w:rsidR="00C16466" w:rsidRPr="00EC1A75" w:rsidRDefault="00C16466" w:rsidP="00EC1A75">
      <w:pPr>
        <w:spacing w:after="0"/>
        <w:ind w:left="709"/>
        <w:rPr>
          <w:rFonts w:asciiTheme="minorHAnsi" w:hAnsiTheme="minorHAnsi" w:cstheme="minorHAnsi"/>
          <w:sz w:val="24"/>
          <w:szCs w:val="24"/>
        </w:rPr>
      </w:pPr>
      <w:r w:rsidRPr="00EC1A75">
        <w:rPr>
          <w:rFonts w:asciiTheme="minorHAnsi" w:hAnsiTheme="minorHAnsi" w:cstheme="minorHAnsi"/>
          <w:b/>
          <w:sz w:val="24"/>
          <w:szCs w:val="24"/>
        </w:rPr>
        <w:t>SCDC Final Local Plan</w:t>
      </w:r>
      <w:r w:rsidRPr="00EC1A75">
        <w:rPr>
          <w:rFonts w:asciiTheme="minorHAnsi" w:hAnsiTheme="minorHAnsi" w:cstheme="minorHAnsi"/>
          <w:sz w:val="24"/>
          <w:szCs w:val="24"/>
        </w:rPr>
        <w:t xml:space="preserve">: </w:t>
      </w:r>
    </w:p>
    <w:p w14:paraId="621E60AB" w14:textId="33F1AB4D" w:rsidR="00A965D6" w:rsidRPr="00EC1A75" w:rsidRDefault="003F20D2" w:rsidP="00EC1A75">
      <w:pPr>
        <w:spacing w:after="0"/>
        <w:ind w:left="709"/>
        <w:rPr>
          <w:rFonts w:asciiTheme="minorHAnsi" w:hAnsiTheme="minorHAnsi" w:cstheme="minorHAnsi"/>
          <w:sz w:val="24"/>
          <w:szCs w:val="24"/>
        </w:rPr>
      </w:pPr>
      <w:hyperlink r:id="rId19" w:history="1">
        <w:r w:rsidR="00C16466" w:rsidRPr="00EC1A75">
          <w:rPr>
            <w:rStyle w:val="Hyperlink"/>
            <w:rFonts w:asciiTheme="minorHAnsi" w:hAnsiTheme="minorHAnsi" w:cstheme="minorHAnsi"/>
            <w:sz w:val="24"/>
            <w:szCs w:val="24"/>
          </w:rPr>
          <w:t>https://www.eastsuffolk.gov.uk/assets/Planning/Suffolk-Coastal-Local-Plan/Final-Draft-Local-Plan/Final-Draft-Local-Plan.pdf</w:t>
        </w:r>
      </w:hyperlink>
    </w:p>
    <w:sectPr w:rsidR="00A965D6" w:rsidRPr="00EC1A75">
      <w:footerReference w:type="default" r:id="rId20"/>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F4787" w14:textId="77777777" w:rsidR="003F20D2" w:rsidRDefault="003F20D2" w:rsidP="002F1FA5">
      <w:pPr>
        <w:spacing w:after="0" w:line="240" w:lineRule="auto"/>
      </w:pPr>
      <w:r>
        <w:separator/>
      </w:r>
    </w:p>
  </w:endnote>
  <w:endnote w:type="continuationSeparator" w:id="0">
    <w:p w14:paraId="65C9C479" w14:textId="77777777" w:rsidR="003F20D2" w:rsidRDefault="003F20D2" w:rsidP="002F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258319"/>
      <w:docPartObj>
        <w:docPartGallery w:val="Page Numbers (Bottom of Page)"/>
        <w:docPartUnique/>
      </w:docPartObj>
    </w:sdtPr>
    <w:sdtEndPr>
      <w:rPr>
        <w:noProof/>
      </w:rPr>
    </w:sdtEndPr>
    <w:sdtContent>
      <w:p w14:paraId="633B3488" w14:textId="51E12D81" w:rsidR="00BC454B" w:rsidRDefault="00BC454B" w:rsidP="00BC454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62E19EC" w14:textId="77777777" w:rsidR="00BC454B" w:rsidRDefault="00BC4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3B92F" w14:textId="77777777" w:rsidR="003F20D2" w:rsidRDefault="003F20D2" w:rsidP="002F1FA5">
      <w:pPr>
        <w:spacing w:after="0" w:line="240" w:lineRule="auto"/>
      </w:pPr>
      <w:r>
        <w:separator/>
      </w:r>
    </w:p>
  </w:footnote>
  <w:footnote w:type="continuationSeparator" w:id="0">
    <w:p w14:paraId="4E78A6DE" w14:textId="77777777" w:rsidR="003F20D2" w:rsidRDefault="003F20D2" w:rsidP="002F1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46AE"/>
    <w:multiLevelType w:val="hybridMultilevel"/>
    <w:tmpl w:val="6F66F402"/>
    <w:lvl w:ilvl="0" w:tplc="C628968E">
      <w:start w:val="11"/>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2EE6A26"/>
    <w:multiLevelType w:val="hybridMultilevel"/>
    <w:tmpl w:val="849485F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064397"/>
    <w:multiLevelType w:val="hybridMultilevel"/>
    <w:tmpl w:val="E612E210"/>
    <w:lvl w:ilvl="0" w:tplc="B4163B06">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8F1C9F"/>
    <w:multiLevelType w:val="hybridMultilevel"/>
    <w:tmpl w:val="8B108F64"/>
    <w:lvl w:ilvl="0" w:tplc="CD34DCBA">
      <w:start w:val="1"/>
      <w:numFmt w:val="lowerRoman"/>
      <w:lvlText w:val="(%1)"/>
      <w:lvlJc w:val="left"/>
      <w:pPr>
        <w:ind w:left="2424" w:hanging="720"/>
      </w:pPr>
      <w:rPr>
        <w:rFonts w:hint="default"/>
      </w:rPr>
    </w:lvl>
    <w:lvl w:ilvl="1" w:tplc="08090019" w:tentative="1">
      <w:start w:val="1"/>
      <w:numFmt w:val="lowerLetter"/>
      <w:lvlText w:val="%2."/>
      <w:lvlJc w:val="left"/>
      <w:pPr>
        <w:ind w:left="2784" w:hanging="360"/>
      </w:pPr>
    </w:lvl>
    <w:lvl w:ilvl="2" w:tplc="0809001B" w:tentative="1">
      <w:start w:val="1"/>
      <w:numFmt w:val="lowerRoman"/>
      <w:lvlText w:val="%3."/>
      <w:lvlJc w:val="right"/>
      <w:pPr>
        <w:ind w:left="3504" w:hanging="180"/>
      </w:pPr>
    </w:lvl>
    <w:lvl w:ilvl="3" w:tplc="0809000F" w:tentative="1">
      <w:start w:val="1"/>
      <w:numFmt w:val="decimal"/>
      <w:lvlText w:val="%4."/>
      <w:lvlJc w:val="left"/>
      <w:pPr>
        <w:ind w:left="4224" w:hanging="360"/>
      </w:pPr>
    </w:lvl>
    <w:lvl w:ilvl="4" w:tplc="08090019" w:tentative="1">
      <w:start w:val="1"/>
      <w:numFmt w:val="lowerLetter"/>
      <w:lvlText w:val="%5."/>
      <w:lvlJc w:val="left"/>
      <w:pPr>
        <w:ind w:left="4944" w:hanging="360"/>
      </w:pPr>
    </w:lvl>
    <w:lvl w:ilvl="5" w:tplc="0809001B" w:tentative="1">
      <w:start w:val="1"/>
      <w:numFmt w:val="lowerRoman"/>
      <w:lvlText w:val="%6."/>
      <w:lvlJc w:val="right"/>
      <w:pPr>
        <w:ind w:left="5664" w:hanging="180"/>
      </w:pPr>
    </w:lvl>
    <w:lvl w:ilvl="6" w:tplc="0809000F" w:tentative="1">
      <w:start w:val="1"/>
      <w:numFmt w:val="decimal"/>
      <w:lvlText w:val="%7."/>
      <w:lvlJc w:val="left"/>
      <w:pPr>
        <w:ind w:left="6384" w:hanging="360"/>
      </w:pPr>
    </w:lvl>
    <w:lvl w:ilvl="7" w:tplc="08090019" w:tentative="1">
      <w:start w:val="1"/>
      <w:numFmt w:val="lowerLetter"/>
      <w:lvlText w:val="%8."/>
      <w:lvlJc w:val="left"/>
      <w:pPr>
        <w:ind w:left="7104" w:hanging="360"/>
      </w:pPr>
    </w:lvl>
    <w:lvl w:ilvl="8" w:tplc="0809001B" w:tentative="1">
      <w:start w:val="1"/>
      <w:numFmt w:val="lowerRoman"/>
      <w:lvlText w:val="%9."/>
      <w:lvlJc w:val="right"/>
      <w:pPr>
        <w:ind w:left="7824" w:hanging="180"/>
      </w:pPr>
    </w:lvl>
  </w:abstractNum>
  <w:abstractNum w:abstractNumId="4" w15:restartNumberingAfterBreak="0">
    <w:nsid w:val="40DD299A"/>
    <w:multiLevelType w:val="hybridMultilevel"/>
    <w:tmpl w:val="33EEA1CC"/>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F7755C"/>
    <w:multiLevelType w:val="hybridMultilevel"/>
    <w:tmpl w:val="156C0EB6"/>
    <w:lvl w:ilvl="0" w:tplc="3410D54A">
      <w:start w:val="1"/>
      <w:numFmt w:val="lowerRoman"/>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609165A3"/>
    <w:multiLevelType w:val="hybridMultilevel"/>
    <w:tmpl w:val="B8F630B6"/>
    <w:lvl w:ilvl="0" w:tplc="4630F4E0">
      <w:start w:val="1"/>
      <w:numFmt w:val="lowerRoman"/>
      <w:lvlText w:val="(%1)"/>
      <w:lvlJc w:val="left"/>
      <w:pPr>
        <w:ind w:left="3861" w:hanging="720"/>
      </w:pPr>
      <w:rPr>
        <w:rFonts w:hint="default"/>
      </w:rPr>
    </w:lvl>
    <w:lvl w:ilvl="1" w:tplc="08090019" w:tentative="1">
      <w:start w:val="1"/>
      <w:numFmt w:val="lowerLetter"/>
      <w:lvlText w:val="%2."/>
      <w:lvlJc w:val="left"/>
      <w:pPr>
        <w:ind w:left="4221" w:hanging="360"/>
      </w:pPr>
    </w:lvl>
    <w:lvl w:ilvl="2" w:tplc="0809001B" w:tentative="1">
      <w:start w:val="1"/>
      <w:numFmt w:val="lowerRoman"/>
      <w:lvlText w:val="%3."/>
      <w:lvlJc w:val="right"/>
      <w:pPr>
        <w:ind w:left="4941" w:hanging="180"/>
      </w:pPr>
    </w:lvl>
    <w:lvl w:ilvl="3" w:tplc="0809000F" w:tentative="1">
      <w:start w:val="1"/>
      <w:numFmt w:val="decimal"/>
      <w:lvlText w:val="%4."/>
      <w:lvlJc w:val="left"/>
      <w:pPr>
        <w:ind w:left="5661" w:hanging="360"/>
      </w:pPr>
    </w:lvl>
    <w:lvl w:ilvl="4" w:tplc="08090019" w:tentative="1">
      <w:start w:val="1"/>
      <w:numFmt w:val="lowerLetter"/>
      <w:lvlText w:val="%5."/>
      <w:lvlJc w:val="left"/>
      <w:pPr>
        <w:ind w:left="6381" w:hanging="360"/>
      </w:pPr>
    </w:lvl>
    <w:lvl w:ilvl="5" w:tplc="0809001B" w:tentative="1">
      <w:start w:val="1"/>
      <w:numFmt w:val="lowerRoman"/>
      <w:lvlText w:val="%6."/>
      <w:lvlJc w:val="right"/>
      <w:pPr>
        <w:ind w:left="7101" w:hanging="180"/>
      </w:pPr>
    </w:lvl>
    <w:lvl w:ilvl="6" w:tplc="0809000F" w:tentative="1">
      <w:start w:val="1"/>
      <w:numFmt w:val="decimal"/>
      <w:lvlText w:val="%7."/>
      <w:lvlJc w:val="left"/>
      <w:pPr>
        <w:ind w:left="7821" w:hanging="360"/>
      </w:pPr>
    </w:lvl>
    <w:lvl w:ilvl="7" w:tplc="08090019" w:tentative="1">
      <w:start w:val="1"/>
      <w:numFmt w:val="lowerLetter"/>
      <w:lvlText w:val="%8."/>
      <w:lvlJc w:val="left"/>
      <w:pPr>
        <w:ind w:left="8541" w:hanging="360"/>
      </w:pPr>
    </w:lvl>
    <w:lvl w:ilvl="8" w:tplc="0809001B" w:tentative="1">
      <w:start w:val="1"/>
      <w:numFmt w:val="lowerRoman"/>
      <w:lvlText w:val="%9."/>
      <w:lvlJc w:val="right"/>
      <w:pPr>
        <w:ind w:left="9261" w:hanging="180"/>
      </w:pPr>
    </w:lvl>
  </w:abstractNum>
  <w:abstractNum w:abstractNumId="7" w15:restartNumberingAfterBreak="0">
    <w:nsid w:val="76DE6F77"/>
    <w:multiLevelType w:val="hybridMultilevel"/>
    <w:tmpl w:val="CFF2228A"/>
    <w:lvl w:ilvl="0" w:tplc="0809000F">
      <w:start w:val="1"/>
      <w:numFmt w:val="decimal"/>
      <w:lvlText w:val="%1."/>
      <w:lvlJc w:val="left"/>
      <w:pPr>
        <w:ind w:left="720" w:hanging="360"/>
      </w:pPr>
      <w:rPr>
        <w:rFonts w:hint="default"/>
      </w:rPr>
    </w:lvl>
    <w:lvl w:ilvl="1" w:tplc="B4163B06">
      <w:start w:val="1"/>
      <w:numFmt w:val="lowerRoman"/>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15643E"/>
    <w:multiLevelType w:val="multilevel"/>
    <w:tmpl w:val="A350E6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num w:numId="1">
    <w:abstractNumId w:val="1"/>
  </w:num>
  <w:num w:numId="2">
    <w:abstractNumId w:val="4"/>
  </w:num>
  <w:num w:numId="3">
    <w:abstractNumId w:val="6"/>
  </w:num>
  <w:num w:numId="4">
    <w:abstractNumId w:val="2"/>
  </w:num>
  <w:num w:numId="5">
    <w:abstractNumId w:val="3"/>
  </w:num>
  <w:num w:numId="6">
    <w:abstractNumId w:val="7"/>
  </w:num>
  <w:num w:numId="7">
    <w:abstractNumId w:val="5"/>
  </w:num>
  <w:num w:numId="8">
    <w:abstractNumId w:val="0"/>
  </w:num>
  <w:num w:numId="9">
    <w:abstractNumId w:val="8"/>
  </w:num>
  <w:num w:numId="10">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A5"/>
    <w:rsid w:val="00054AEB"/>
    <w:rsid w:val="00056E74"/>
    <w:rsid w:val="000F2185"/>
    <w:rsid w:val="001D7F12"/>
    <w:rsid w:val="001E67D5"/>
    <w:rsid w:val="002104B7"/>
    <w:rsid w:val="002112A2"/>
    <w:rsid w:val="002265B1"/>
    <w:rsid w:val="00250DEA"/>
    <w:rsid w:val="002568A2"/>
    <w:rsid w:val="00292B4E"/>
    <w:rsid w:val="00293B6D"/>
    <w:rsid w:val="002C1DF1"/>
    <w:rsid w:val="002D320B"/>
    <w:rsid w:val="002D58D7"/>
    <w:rsid w:val="002F1FA5"/>
    <w:rsid w:val="002F6796"/>
    <w:rsid w:val="0030735E"/>
    <w:rsid w:val="003345A6"/>
    <w:rsid w:val="003724B3"/>
    <w:rsid w:val="003936C5"/>
    <w:rsid w:val="00397B90"/>
    <w:rsid w:val="003B45F5"/>
    <w:rsid w:val="003F20D2"/>
    <w:rsid w:val="0041590C"/>
    <w:rsid w:val="004278AE"/>
    <w:rsid w:val="00442A5D"/>
    <w:rsid w:val="00471C06"/>
    <w:rsid w:val="0048587C"/>
    <w:rsid w:val="004A14C3"/>
    <w:rsid w:val="004E16EF"/>
    <w:rsid w:val="004E57FA"/>
    <w:rsid w:val="004F2A02"/>
    <w:rsid w:val="004F72F6"/>
    <w:rsid w:val="0057217E"/>
    <w:rsid w:val="00584B77"/>
    <w:rsid w:val="005D1F41"/>
    <w:rsid w:val="006C0442"/>
    <w:rsid w:val="006D4714"/>
    <w:rsid w:val="007150B4"/>
    <w:rsid w:val="0079198B"/>
    <w:rsid w:val="007971DC"/>
    <w:rsid w:val="007C7F3D"/>
    <w:rsid w:val="007F02A0"/>
    <w:rsid w:val="00801F1F"/>
    <w:rsid w:val="008070B3"/>
    <w:rsid w:val="00843FD7"/>
    <w:rsid w:val="0087698B"/>
    <w:rsid w:val="008B6519"/>
    <w:rsid w:val="008B6915"/>
    <w:rsid w:val="008C46A5"/>
    <w:rsid w:val="009159CF"/>
    <w:rsid w:val="00932529"/>
    <w:rsid w:val="00946DB0"/>
    <w:rsid w:val="00950C30"/>
    <w:rsid w:val="0096382E"/>
    <w:rsid w:val="00982CFA"/>
    <w:rsid w:val="00984E41"/>
    <w:rsid w:val="009D1127"/>
    <w:rsid w:val="009D3DBD"/>
    <w:rsid w:val="00A75548"/>
    <w:rsid w:val="00A965D6"/>
    <w:rsid w:val="00B0766A"/>
    <w:rsid w:val="00B53D06"/>
    <w:rsid w:val="00B64E81"/>
    <w:rsid w:val="00B65F52"/>
    <w:rsid w:val="00B71892"/>
    <w:rsid w:val="00B71EBF"/>
    <w:rsid w:val="00B75168"/>
    <w:rsid w:val="00BC454B"/>
    <w:rsid w:val="00C16466"/>
    <w:rsid w:val="00C35F66"/>
    <w:rsid w:val="00C818F2"/>
    <w:rsid w:val="00C81973"/>
    <w:rsid w:val="00CF01B1"/>
    <w:rsid w:val="00D13569"/>
    <w:rsid w:val="00D20A33"/>
    <w:rsid w:val="00D33CDB"/>
    <w:rsid w:val="00D438E8"/>
    <w:rsid w:val="00D43C0B"/>
    <w:rsid w:val="00DA3262"/>
    <w:rsid w:val="00DD1776"/>
    <w:rsid w:val="00DF289E"/>
    <w:rsid w:val="00E20D72"/>
    <w:rsid w:val="00E3305B"/>
    <w:rsid w:val="00E43077"/>
    <w:rsid w:val="00E53DF6"/>
    <w:rsid w:val="00E54191"/>
    <w:rsid w:val="00EA33A8"/>
    <w:rsid w:val="00EC1A75"/>
    <w:rsid w:val="00F2788E"/>
    <w:rsid w:val="00F35743"/>
    <w:rsid w:val="00F5223C"/>
    <w:rsid w:val="00F77ED6"/>
    <w:rsid w:val="00FC25AE"/>
    <w:rsid w:val="00FC4BE4"/>
    <w:rsid w:val="00FF64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9A662"/>
  <w15:docId w15:val="{AB953343-0E1B-427F-B70A-EBAA216E9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1FA5"/>
    <w:pPr>
      <w:spacing w:before="100" w:beforeAutospacing="1" w:after="100" w:afterAutospacing="1" w:line="240" w:lineRule="auto"/>
    </w:pPr>
    <w:rPr>
      <w:rFonts w:ascii="Times New Roman" w:hAnsi="Times New Roman"/>
      <w:sz w:val="24"/>
      <w:szCs w:val="24"/>
      <w:lang w:eastAsia="en-GB"/>
    </w:rPr>
  </w:style>
  <w:style w:type="character" w:styleId="Hyperlink">
    <w:name w:val="Hyperlink"/>
    <w:uiPriority w:val="99"/>
    <w:unhideWhenUsed/>
    <w:rsid w:val="002F1FA5"/>
    <w:rPr>
      <w:color w:val="0000FF"/>
      <w:u w:val="single"/>
    </w:rPr>
  </w:style>
  <w:style w:type="paragraph" w:styleId="ListParagraph">
    <w:name w:val="List Paragraph"/>
    <w:basedOn w:val="Normal"/>
    <w:uiPriority w:val="34"/>
    <w:qFormat/>
    <w:rsid w:val="002F1FA5"/>
    <w:pPr>
      <w:spacing w:after="200" w:line="276" w:lineRule="auto"/>
      <w:ind w:left="720"/>
      <w:contextualSpacing/>
    </w:pPr>
  </w:style>
  <w:style w:type="paragraph" w:styleId="Header">
    <w:name w:val="header"/>
    <w:basedOn w:val="Normal"/>
    <w:link w:val="HeaderChar"/>
    <w:uiPriority w:val="99"/>
    <w:unhideWhenUsed/>
    <w:rsid w:val="002F1FA5"/>
    <w:pPr>
      <w:tabs>
        <w:tab w:val="center" w:pos="4513"/>
        <w:tab w:val="right" w:pos="9026"/>
      </w:tabs>
    </w:pPr>
  </w:style>
  <w:style w:type="character" w:customStyle="1" w:styleId="HeaderChar">
    <w:name w:val="Header Char"/>
    <w:link w:val="Header"/>
    <w:uiPriority w:val="99"/>
    <w:rsid w:val="002F1FA5"/>
    <w:rPr>
      <w:sz w:val="22"/>
      <w:szCs w:val="22"/>
      <w:lang w:eastAsia="en-US"/>
    </w:rPr>
  </w:style>
  <w:style w:type="paragraph" w:styleId="Footer">
    <w:name w:val="footer"/>
    <w:basedOn w:val="Normal"/>
    <w:link w:val="FooterChar"/>
    <w:uiPriority w:val="99"/>
    <w:unhideWhenUsed/>
    <w:rsid w:val="002F1FA5"/>
    <w:pPr>
      <w:tabs>
        <w:tab w:val="center" w:pos="4513"/>
        <w:tab w:val="right" w:pos="9026"/>
      </w:tabs>
    </w:pPr>
  </w:style>
  <w:style w:type="character" w:customStyle="1" w:styleId="FooterChar">
    <w:name w:val="Footer Char"/>
    <w:link w:val="Footer"/>
    <w:uiPriority w:val="99"/>
    <w:rsid w:val="002F1FA5"/>
    <w:rPr>
      <w:sz w:val="22"/>
      <w:szCs w:val="22"/>
      <w:lang w:eastAsia="en-US"/>
    </w:rPr>
  </w:style>
  <w:style w:type="paragraph" w:customStyle="1" w:styleId="Default">
    <w:name w:val="Default"/>
    <w:rsid w:val="00C16466"/>
    <w:pPr>
      <w:autoSpaceDE w:val="0"/>
      <w:autoSpaceDN w:val="0"/>
      <w:adjustRightInd w:val="0"/>
    </w:pPr>
    <w:rPr>
      <w:rFonts w:cs="Calibri"/>
      <w:color w:val="000000"/>
      <w:sz w:val="24"/>
      <w:szCs w:val="24"/>
      <w:lang w:eastAsia="en-US"/>
    </w:rPr>
  </w:style>
  <w:style w:type="character" w:styleId="UnresolvedMention">
    <w:name w:val="Unresolved Mention"/>
    <w:basedOn w:val="DefaultParagraphFont"/>
    <w:uiPriority w:val="99"/>
    <w:semiHidden/>
    <w:unhideWhenUsed/>
    <w:rsid w:val="00F278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952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babergh.gov.uk/assets/Strategic-Planning/Babergh-Core-Strategy/CoreStrategyCoreDocList/FelixPortLogStudy2008App.pdf"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eastsuffolk.gov.uk/assets/Planning/Suffolk-Coastal-Local-Plan/Document-Library/Infrastructure/FPLSFinalReport2008.pdf" TargetMode="External"/><Relationship Id="rId2" Type="http://schemas.openxmlformats.org/officeDocument/2006/relationships/customXml" Target="../customXml/item1.xml"/><Relationship Id="rId16" Type="http://schemas.openxmlformats.org/officeDocument/2006/relationships/hyperlink" Target="https://www.eastsuffolk.gov.uk/assets/Planning/Suffolk-Coastal-Local-Plan/First-Draft-Local-Plan/Port-of-Felixstowe-Growth-and-Development-Needs-Study-July-2018.pdf"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issuu.com/nautilustelegraph/docs/telegraph_february_2019" TargetMode="External"/><Relationship Id="rId10" Type="http://schemas.openxmlformats.org/officeDocument/2006/relationships/image" Target="media/image1.png"/><Relationship Id="rId19" Type="http://schemas.openxmlformats.org/officeDocument/2006/relationships/hyperlink" Target="https://www.eastsuffolk.gov.uk/assets/Planning/Suffolk-Coastal-Local-Plan/Final-Draft-Local-Plan/Final-Draft-Local-Plan.pdf" TargetMode="External"/><Relationship Id="rId4" Type="http://schemas.openxmlformats.org/officeDocument/2006/relationships/styles" Target="styles.xml"/><Relationship Id="rId9" Type="http://schemas.openxmlformats.org/officeDocument/2006/relationships/hyperlink" Target="https://www.youtube.com/watch?v=LD203I5cZ1k&amp;feature=youtu.be&amp;fbclid=IwAR3-vW47iBx0T0BJZs5Js-gfKBctbb0lkTlaPuwBcZv2L4ugy6Wmtb53ASs" TargetMode="External"/><Relationship Id="rId14" Type="http://schemas.openxmlformats.org/officeDocument/2006/relationships/hyperlink" Target="https://www.telegraph.co.uk/news/world/china-watch/business/chengdu-infrastructure-developmen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3DA1C-6397-4FCC-ABD8-9287834E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4792</Words>
  <Characters>27317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32045</CharactersWithSpaces>
  <SharedDoc>false</SharedDoc>
  <HLinks>
    <vt:vector size="6" baseType="variant">
      <vt:variant>
        <vt:i4>196635</vt:i4>
      </vt:variant>
      <vt:variant>
        <vt:i4>0</vt:i4>
      </vt:variant>
      <vt:variant>
        <vt:i4>0</vt:i4>
      </vt:variant>
      <vt:variant>
        <vt:i4>5</vt:i4>
      </vt:variant>
      <vt:variant>
        <vt:lpwstr>https://www.youtube.com/watch?v=LD203I5cZ1k&amp;feature=youtu.be&amp;fbclid=IwAR3-vW47iBx0T0BJZs5Js-gfKBctbb0lkTlaPuwBcZv2L4ugy6Wmtb53ASs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Garnham, Mr Justice</dc:creator>
  <cp:lastModifiedBy>Stephen Wrinch</cp:lastModifiedBy>
  <cp:revision>3</cp:revision>
  <cp:lastPrinted>2019-02-25T13:13:00Z</cp:lastPrinted>
  <dcterms:created xsi:type="dcterms:W3CDTF">2019-02-25T13:38:00Z</dcterms:created>
  <dcterms:modified xsi:type="dcterms:W3CDTF">2019-02-25T13:40:00Z</dcterms:modified>
</cp:coreProperties>
</file>